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CEF7" w14:textId="77777777" w:rsidR="00336A08" w:rsidRDefault="0098362B" w:rsidP="00336A08">
      <w:pPr>
        <w:spacing w:after="0" w:line="240" w:lineRule="auto"/>
        <w:jc w:val="both"/>
        <w:rPr>
          <w:b/>
          <w:bCs/>
          <w:kern w:val="2"/>
          <w:sz w:val="24"/>
          <w:szCs w:val="24"/>
          <w:lang w:val="en-US"/>
          <w14:ligatures w14:val="standardContextual"/>
        </w:rPr>
      </w:pPr>
      <w:r w:rsidRPr="0098362B">
        <w:rPr>
          <w:b/>
          <w:sz w:val="28"/>
          <w:szCs w:val="28"/>
        </w:rPr>
        <w:t>Title:</w:t>
      </w:r>
      <w:r w:rsidR="005C0C4F" w:rsidRPr="005C0C4F">
        <w:rPr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1A03307C" w14:textId="73896216" w:rsidR="005C0C4F" w:rsidRPr="00336A08" w:rsidRDefault="005C0C4F" w:rsidP="00336A08">
      <w:pPr>
        <w:spacing w:after="0" w:line="240" w:lineRule="auto"/>
        <w:jc w:val="both"/>
        <w:rPr>
          <w:sz w:val="24"/>
          <w:szCs w:val="24"/>
          <w:lang w:val="en-US"/>
        </w:rPr>
      </w:pPr>
      <w:r w:rsidRPr="00336A08">
        <w:rPr>
          <w:sz w:val="24"/>
          <w:szCs w:val="24"/>
          <w:lang w:val="en-US"/>
        </w:rPr>
        <w:t>Results of a clinical trial of ANG003, a non-porcine pancreatic enzyme replacement therapy, in people with cystic fibrosis</w:t>
      </w:r>
    </w:p>
    <w:p w14:paraId="242577E5" w14:textId="4C755EC3" w:rsidR="006A7976" w:rsidRPr="00336A08" w:rsidRDefault="006A7976" w:rsidP="00336A08">
      <w:pPr>
        <w:spacing w:after="0" w:line="240" w:lineRule="auto"/>
        <w:jc w:val="both"/>
        <w:rPr>
          <w:sz w:val="24"/>
          <w:szCs w:val="24"/>
        </w:rPr>
      </w:pPr>
    </w:p>
    <w:p w14:paraId="007D81E7" w14:textId="77777777" w:rsidR="00336A08" w:rsidRDefault="006A7976" w:rsidP="00336A0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Lay Title:</w:t>
      </w:r>
      <w:r w:rsidR="005C0C4F">
        <w:rPr>
          <w:b/>
          <w:sz w:val="28"/>
          <w:szCs w:val="28"/>
        </w:rPr>
        <w:t xml:space="preserve">  </w:t>
      </w:r>
    </w:p>
    <w:p w14:paraId="0460D823" w14:textId="47E6E8CB" w:rsidR="005C0C4F" w:rsidRPr="00336A08" w:rsidRDefault="005C0C4F" w:rsidP="00336A08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336A08">
        <w:rPr>
          <w:bCs/>
          <w:sz w:val="24"/>
          <w:szCs w:val="24"/>
        </w:rPr>
        <w:t xml:space="preserve">A study of a new non-pig-based </w:t>
      </w:r>
      <w:r w:rsidRPr="00336A08">
        <w:rPr>
          <w:bCs/>
          <w:sz w:val="24"/>
          <w:szCs w:val="24"/>
          <w:lang w:val="en-US"/>
        </w:rPr>
        <w:t>pancreatic enzyme replacement therapy in people with CF</w:t>
      </w:r>
    </w:p>
    <w:p w14:paraId="2C518F27" w14:textId="77777777" w:rsidR="0098362B" w:rsidRPr="00336A08" w:rsidRDefault="0098362B" w:rsidP="00336A08">
      <w:pPr>
        <w:spacing w:after="0" w:line="240" w:lineRule="auto"/>
        <w:jc w:val="both"/>
        <w:rPr>
          <w:bCs/>
          <w:sz w:val="24"/>
          <w:szCs w:val="24"/>
        </w:rPr>
      </w:pPr>
    </w:p>
    <w:p w14:paraId="4FED8875" w14:textId="77777777" w:rsidR="0098362B" w:rsidRDefault="0098362B" w:rsidP="00336A08">
      <w:pPr>
        <w:spacing w:after="0" w:line="240" w:lineRule="auto"/>
        <w:jc w:val="both"/>
        <w:rPr>
          <w:b/>
          <w:sz w:val="28"/>
          <w:szCs w:val="28"/>
        </w:rPr>
      </w:pPr>
      <w:r w:rsidRPr="0098362B">
        <w:rPr>
          <w:b/>
          <w:sz w:val="28"/>
          <w:szCs w:val="28"/>
        </w:rPr>
        <w:t>Authors:</w:t>
      </w:r>
    </w:p>
    <w:p w14:paraId="7C42D68F" w14:textId="77777777" w:rsidR="00EC4886" w:rsidRPr="00EC4886" w:rsidRDefault="00EC4886" w:rsidP="00336A08">
      <w:pPr>
        <w:spacing w:after="0" w:line="240" w:lineRule="auto"/>
        <w:jc w:val="both"/>
        <w:rPr>
          <w:bCs/>
          <w:sz w:val="24"/>
          <w:szCs w:val="24"/>
          <w:vertAlign w:val="superscript"/>
          <w:lang w:val="en-US"/>
        </w:rPr>
      </w:pPr>
      <w:r w:rsidRPr="00EC4886">
        <w:rPr>
          <w:bCs/>
          <w:sz w:val="24"/>
          <w:szCs w:val="24"/>
          <w:lang w:val="en-US"/>
        </w:rPr>
        <w:t>Meghana Sathe</w:t>
      </w:r>
      <w:r w:rsidRPr="00EC4886">
        <w:rPr>
          <w:bCs/>
          <w:sz w:val="24"/>
          <w:szCs w:val="24"/>
          <w:vertAlign w:val="superscript"/>
          <w:lang w:val="en-US"/>
        </w:rPr>
        <w:t>1</w:t>
      </w:r>
      <w:r w:rsidRPr="00EC4886">
        <w:rPr>
          <w:bCs/>
          <w:sz w:val="24"/>
          <w:szCs w:val="24"/>
          <w:lang w:val="en-US"/>
        </w:rPr>
        <w:t>, Steven D. Freedman</w:t>
      </w:r>
      <w:r w:rsidRPr="00EC4886">
        <w:rPr>
          <w:bCs/>
          <w:sz w:val="24"/>
          <w:szCs w:val="24"/>
          <w:vertAlign w:val="superscript"/>
          <w:lang w:val="en-US"/>
        </w:rPr>
        <w:t>2</w:t>
      </w:r>
      <w:r w:rsidRPr="00EC4886">
        <w:rPr>
          <w:bCs/>
          <w:sz w:val="24"/>
          <w:szCs w:val="24"/>
          <w:lang w:val="en-US"/>
        </w:rPr>
        <w:t>, Melissa S. Putman</w:t>
      </w:r>
      <w:r w:rsidRPr="00EC4886">
        <w:rPr>
          <w:bCs/>
          <w:sz w:val="24"/>
          <w:szCs w:val="24"/>
          <w:vertAlign w:val="superscript"/>
          <w:lang w:val="en-US"/>
        </w:rPr>
        <w:t>3</w:t>
      </w:r>
      <w:r w:rsidRPr="00EC4886">
        <w:rPr>
          <w:bCs/>
          <w:sz w:val="24"/>
          <w:szCs w:val="24"/>
          <w:lang w:val="en-US"/>
        </w:rPr>
        <w:t>, Robert Gallotto</w:t>
      </w:r>
      <w:r w:rsidRPr="00EC4886">
        <w:rPr>
          <w:bCs/>
          <w:sz w:val="24"/>
          <w:szCs w:val="24"/>
          <w:vertAlign w:val="superscript"/>
          <w:lang w:val="en-US"/>
        </w:rPr>
        <w:t>4</w:t>
      </w:r>
      <w:r w:rsidRPr="00EC4886">
        <w:rPr>
          <w:bCs/>
          <w:sz w:val="24"/>
          <w:szCs w:val="24"/>
          <w:lang w:val="en-US"/>
        </w:rPr>
        <w:t>, Marcie Clarkin</w:t>
      </w:r>
      <w:r w:rsidRPr="00EC4886">
        <w:rPr>
          <w:bCs/>
          <w:sz w:val="24"/>
          <w:szCs w:val="24"/>
          <w:vertAlign w:val="superscript"/>
          <w:lang w:val="en-US"/>
        </w:rPr>
        <w:t>4</w:t>
      </w:r>
      <w:r w:rsidRPr="00EC4886">
        <w:rPr>
          <w:bCs/>
          <w:sz w:val="24"/>
          <w:szCs w:val="24"/>
          <w:lang w:val="en-US"/>
        </w:rPr>
        <w:t>, Danielle Gallotto</w:t>
      </w:r>
      <w:r w:rsidRPr="00EC4886">
        <w:rPr>
          <w:bCs/>
          <w:sz w:val="24"/>
          <w:szCs w:val="24"/>
          <w:vertAlign w:val="superscript"/>
          <w:lang w:val="en-US"/>
        </w:rPr>
        <w:t>4</w:t>
      </w:r>
      <w:r w:rsidRPr="00EC4886">
        <w:rPr>
          <w:bCs/>
          <w:sz w:val="24"/>
          <w:szCs w:val="24"/>
          <w:lang w:val="en-US"/>
        </w:rPr>
        <w:t xml:space="preserve">, </w:t>
      </w:r>
      <w:r w:rsidRPr="00EC4886">
        <w:rPr>
          <w:bCs/>
          <w:sz w:val="24"/>
          <w:szCs w:val="24"/>
          <w:lang w:val="en-GB"/>
        </w:rPr>
        <w:t xml:space="preserve">Kateryna Pierzynowska </w:t>
      </w:r>
      <w:r w:rsidRPr="00EC4886">
        <w:rPr>
          <w:bCs/>
          <w:sz w:val="24"/>
          <w:szCs w:val="24"/>
          <w:vertAlign w:val="superscript"/>
          <w:lang w:val="en-GB"/>
        </w:rPr>
        <w:t>4,5,6,7</w:t>
      </w:r>
      <w:r w:rsidRPr="00EC4886">
        <w:rPr>
          <w:bCs/>
          <w:sz w:val="24"/>
          <w:szCs w:val="24"/>
          <w:lang w:val="en-GB"/>
        </w:rPr>
        <w:t>,</w:t>
      </w:r>
      <w:r w:rsidRPr="00EC4886">
        <w:rPr>
          <w:bCs/>
          <w:sz w:val="24"/>
          <w:szCs w:val="24"/>
          <w:lang w:val="en-US"/>
        </w:rPr>
        <w:t xml:space="preserve"> Drucy Borowitz</w:t>
      </w:r>
      <w:r w:rsidRPr="00EC4886">
        <w:rPr>
          <w:bCs/>
          <w:sz w:val="24"/>
          <w:szCs w:val="24"/>
          <w:vertAlign w:val="superscript"/>
          <w:lang w:val="en-US"/>
        </w:rPr>
        <w:t>8</w:t>
      </w:r>
    </w:p>
    <w:p w14:paraId="6698E0AB" w14:textId="77777777" w:rsidR="0098362B" w:rsidRPr="00EC4886" w:rsidRDefault="0098362B" w:rsidP="00336A08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11EFFD1B" w14:textId="77777777" w:rsidR="0098362B" w:rsidRDefault="0098362B" w:rsidP="00336A08">
      <w:pPr>
        <w:spacing w:after="0" w:line="240" w:lineRule="auto"/>
        <w:jc w:val="both"/>
        <w:rPr>
          <w:b/>
          <w:sz w:val="28"/>
          <w:szCs w:val="28"/>
        </w:rPr>
      </w:pPr>
      <w:r w:rsidRPr="0098362B">
        <w:rPr>
          <w:b/>
          <w:sz w:val="28"/>
          <w:szCs w:val="28"/>
        </w:rPr>
        <w:t>Affiliations:</w:t>
      </w:r>
    </w:p>
    <w:p w14:paraId="0035A3CC" w14:textId="77777777" w:rsidR="00EC4886" w:rsidRPr="00EC4886" w:rsidRDefault="00EC4886" w:rsidP="00336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 w:cstheme="minorHAnsi"/>
          <w:kern w:val="2"/>
          <w:sz w:val="24"/>
          <w:szCs w:val="24"/>
          <w:lang w:val="en-US"/>
          <w14:ligatures w14:val="standardContextual"/>
        </w:rPr>
      </w:pPr>
      <w:r w:rsidRPr="00EC4886">
        <w:rPr>
          <w:rFonts w:eastAsia="Aptos" w:cstheme="minorHAnsi"/>
          <w:kern w:val="2"/>
          <w:sz w:val="24"/>
          <w:szCs w:val="24"/>
          <w:lang w:val="en-US"/>
          <w14:ligatures w14:val="standardContextual"/>
        </w:rPr>
        <w:t xml:space="preserve">Division of Pediatric Gastroenterology and Nutrition, UTSW/Children’s Health, Dallas, TX </w:t>
      </w:r>
    </w:p>
    <w:p w14:paraId="24D988A7" w14:textId="77777777" w:rsidR="00EC4886" w:rsidRPr="00EC4886" w:rsidRDefault="00EC4886" w:rsidP="00336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 w:cstheme="minorHAnsi"/>
          <w:kern w:val="2"/>
          <w:sz w:val="24"/>
          <w:szCs w:val="24"/>
          <w:lang w:val="en-US"/>
          <w14:ligatures w14:val="standardContextual"/>
        </w:rPr>
      </w:pPr>
      <w:r w:rsidRPr="00EC4886">
        <w:rPr>
          <w:rFonts w:eastAsia="Aptos" w:cstheme="minorHAnsi"/>
          <w:kern w:val="2"/>
          <w:sz w:val="24"/>
          <w:szCs w:val="24"/>
          <w:lang w:val="en-US"/>
          <w14:ligatures w14:val="standardContextual"/>
        </w:rPr>
        <w:t>Beth Israel Deaconess Medical Center, Division of Gastroenterology, Boston, MA (or Beth Israel Deaconess, Division of GI, Boston, MA</w:t>
      </w:r>
    </w:p>
    <w:p w14:paraId="485C2358" w14:textId="77777777" w:rsidR="00EC4886" w:rsidRPr="00EC4886" w:rsidRDefault="00EC4886" w:rsidP="00336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 w:cstheme="minorHAnsi"/>
          <w:kern w:val="2"/>
          <w:sz w:val="24"/>
          <w:szCs w:val="24"/>
          <w:lang w:val="sv-SE"/>
          <w14:ligatures w14:val="standardContextual"/>
        </w:rPr>
      </w:pPr>
      <w:r w:rsidRPr="00EC4886">
        <w:rPr>
          <w:rFonts w:eastAsia="Aptos" w:cstheme="minorHAnsi"/>
          <w:kern w:val="2"/>
          <w:sz w:val="24"/>
          <w:szCs w:val="24"/>
          <w:lang w:val="sv-SE"/>
          <w14:ligatures w14:val="standardContextual"/>
        </w:rPr>
        <w:t>Diabetes Research Center, Massachusetts General Hospital, Boston, MA</w:t>
      </w:r>
    </w:p>
    <w:p w14:paraId="11C4C36F" w14:textId="77777777" w:rsidR="00EC4886" w:rsidRPr="00EC4886" w:rsidRDefault="00EC4886" w:rsidP="00336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 w:cstheme="minorHAnsi"/>
          <w:kern w:val="2"/>
          <w:sz w:val="24"/>
          <w:szCs w:val="24"/>
          <w:lang w:val="sv-SE"/>
          <w14:ligatures w14:val="standardContextual"/>
        </w:rPr>
      </w:pPr>
      <w:r w:rsidRPr="00EC4886">
        <w:rPr>
          <w:rFonts w:eastAsia="Aptos" w:cstheme="minorHAnsi"/>
          <w:kern w:val="2"/>
          <w:sz w:val="24"/>
          <w:szCs w:val="24"/>
          <w:lang w:val="sv-SE"/>
          <w14:ligatures w14:val="standardContextual"/>
        </w:rPr>
        <w:t>Anagram Therapeutics, Inc., Framingham, MA</w:t>
      </w:r>
    </w:p>
    <w:p w14:paraId="448A3258" w14:textId="77777777" w:rsidR="00EC4886" w:rsidRPr="00EC4886" w:rsidRDefault="00EC4886" w:rsidP="00336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 w:cstheme="minorHAnsi"/>
          <w:color w:val="000000"/>
          <w:kern w:val="2"/>
          <w:sz w:val="24"/>
          <w:szCs w:val="24"/>
          <w:lang w:val="en-GB"/>
          <w14:ligatures w14:val="standardContextual"/>
        </w:rPr>
      </w:pPr>
      <w:r w:rsidRPr="00EC4886">
        <w:rPr>
          <w:rFonts w:eastAsia="Aptos" w:cstheme="minorHAnsi"/>
          <w:color w:val="000000"/>
          <w:kern w:val="2"/>
          <w:sz w:val="24"/>
          <w:szCs w:val="24"/>
          <w:lang w:val="en-GB"/>
          <w14:ligatures w14:val="standardContextual"/>
        </w:rPr>
        <w:t xml:space="preserve">Department of Biology, Lund University, Lund, Sweden </w:t>
      </w:r>
    </w:p>
    <w:p w14:paraId="04BA3C94" w14:textId="77777777" w:rsidR="00EC4886" w:rsidRPr="00EC4886" w:rsidRDefault="00EC4886" w:rsidP="00336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 w:cstheme="minorHAnsi"/>
          <w:color w:val="000000"/>
          <w:kern w:val="2"/>
          <w:sz w:val="24"/>
          <w:szCs w:val="24"/>
          <w:lang w:val="en-GB"/>
          <w14:ligatures w14:val="standardContextual"/>
        </w:rPr>
      </w:pPr>
      <w:r w:rsidRPr="00EC4886">
        <w:rPr>
          <w:rFonts w:eastAsia="Aptos" w:cstheme="minorHAnsi"/>
          <w:color w:val="000000"/>
          <w:kern w:val="2"/>
          <w:sz w:val="24"/>
          <w:szCs w:val="24"/>
          <w:lang w:val="en-GB"/>
          <w14:ligatures w14:val="standardContextual"/>
        </w:rPr>
        <w:t xml:space="preserve">Department of Animal Physiology, The </w:t>
      </w:r>
      <w:proofErr w:type="spellStart"/>
      <w:r w:rsidRPr="00EC4886">
        <w:rPr>
          <w:rFonts w:eastAsia="Aptos" w:cstheme="minorHAnsi"/>
          <w:color w:val="000000"/>
          <w:kern w:val="2"/>
          <w:sz w:val="24"/>
          <w:szCs w:val="24"/>
          <w:lang w:val="en-GB"/>
          <w14:ligatures w14:val="standardContextual"/>
        </w:rPr>
        <w:t>Kielanowski</w:t>
      </w:r>
      <w:proofErr w:type="spellEnd"/>
      <w:r w:rsidRPr="00EC4886">
        <w:rPr>
          <w:rFonts w:eastAsia="Aptos" w:cstheme="minorHAnsi"/>
          <w:color w:val="000000"/>
          <w:kern w:val="2"/>
          <w:sz w:val="24"/>
          <w:szCs w:val="24"/>
          <w:lang w:val="en-GB"/>
          <w14:ligatures w14:val="standardContextual"/>
        </w:rPr>
        <w:t xml:space="preserve"> Institute of Animal Physiology and Nutrition, </w:t>
      </w:r>
      <w:proofErr w:type="spellStart"/>
      <w:r w:rsidRPr="00EC4886">
        <w:rPr>
          <w:rFonts w:eastAsia="Aptos" w:cstheme="minorHAnsi"/>
          <w:color w:val="000000"/>
          <w:kern w:val="2"/>
          <w:sz w:val="24"/>
          <w:szCs w:val="24"/>
          <w:lang w:val="en-GB"/>
          <w14:ligatures w14:val="standardContextual"/>
        </w:rPr>
        <w:t>Jabłonna</w:t>
      </w:r>
      <w:proofErr w:type="spellEnd"/>
      <w:r w:rsidRPr="00EC4886">
        <w:rPr>
          <w:rFonts w:eastAsia="Aptos" w:cstheme="minorHAnsi"/>
          <w:color w:val="000000"/>
          <w:kern w:val="2"/>
          <w:sz w:val="24"/>
          <w:szCs w:val="24"/>
          <w:lang w:val="en-GB"/>
          <w14:ligatures w14:val="standardContextual"/>
        </w:rPr>
        <w:t>, Poland</w:t>
      </w:r>
    </w:p>
    <w:p w14:paraId="77B2AEBD" w14:textId="77777777" w:rsidR="00EC4886" w:rsidRPr="00EC4886" w:rsidRDefault="00EC4886" w:rsidP="00336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 w:cstheme="minorHAnsi"/>
          <w:kern w:val="2"/>
          <w:sz w:val="24"/>
          <w:szCs w:val="24"/>
          <w:lang w:val="en-US"/>
          <w14:ligatures w14:val="standardContextual"/>
        </w:rPr>
      </w:pPr>
      <w:r w:rsidRPr="00EC4886">
        <w:rPr>
          <w:rFonts w:eastAsia="Aptos" w:cstheme="minorHAnsi"/>
          <w:color w:val="000000"/>
          <w:kern w:val="2"/>
          <w:sz w:val="24"/>
          <w:szCs w:val="24"/>
          <w:lang w:val="en-GB"/>
          <w14:ligatures w14:val="standardContextual"/>
        </w:rPr>
        <w:t>Anara AB, Trelleborg, Sweden</w:t>
      </w:r>
      <w:r w:rsidRPr="00EC4886">
        <w:rPr>
          <w:rFonts w:eastAsia="Aptos" w:cstheme="minorHAnsi"/>
          <w:color w:val="000000"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1CE6729C" w14:textId="77777777" w:rsidR="00EC4886" w:rsidRPr="00EC4886" w:rsidRDefault="00EC4886" w:rsidP="00336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ptos" w:cstheme="minorHAnsi"/>
          <w:kern w:val="2"/>
          <w:sz w:val="24"/>
          <w:szCs w:val="24"/>
          <w:lang w:val="en-US"/>
          <w14:ligatures w14:val="standardContextual"/>
        </w:rPr>
      </w:pPr>
      <w:r w:rsidRPr="00EC4886">
        <w:rPr>
          <w:rFonts w:eastAsia="Aptos" w:cstheme="minorHAnsi"/>
          <w:kern w:val="2"/>
          <w:sz w:val="24"/>
          <w:szCs w:val="24"/>
          <w:lang w:val="en-US"/>
          <w14:ligatures w14:val="standardContextual"/>
        </w:rPr>
        <w:t xml:space="preserve">Department of Pediatrics, Jacobs School of Medicine and Biomedical Sciences, University at Buffalo, NY </w:t>
      </w:r>
    </w:p>
    <w:p w14:paraId="3ECDA763" w14:textId="77777777" w:rsidR="0098362B" w:rsidRPr="00EC4886" w:rsidRDefault="0098362B" w:rsidP="00336A08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729B4BBE" w14:textId="0A15643D" w:rsidR="0098362B" w:rsidRDefault="0098362B" w:rsidP="00336A08">
      <w:pPr>
        <w:spacing w:after="0" w:line="240" w:lineRule="auto"/>
        <w:jc w:val="both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was your research question?</w:t>
      </w:r>
      <w:r w:rsidR="00540382">
        <w:rPr>
          <w:b/>
          <w:sz w:val="28"/>
          <w:szCs w:val="28"/>
        </w:rPr>
        <w:t xml:space="preserve"> </w:t>
      </w:r>
    </w:p>
    <w:p w14:paraId="4DA95870" w14:textId="5A24BB85" w:rsidR="005C0C4F" w:rsidRPr="00FE6B88" w:rsidRDefault="005C0C4F" w:rsidP="00336A08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FE6B88">
        <w:rPr>
          <w:bCs/>
          <w:iCs/>
          <w:sz w:val="24"/>
          <w:szCs w:val="24"/>
        </w:rPr>
        <w:t>We develop</w:t>
      </w:r>
      <w:r w:rsidR="004B0F28">
        <w:rPr>
          <w:bCs/>
          <w:iCs/>
          <w:sz w:val="24"/>
          <w:szCs w:val="24"/>
        </w:rPr>
        <w:t>ed</w:t>
      </w:r>
      <w:r w:rsidRPr="00FE6B88">
        <w:rPr>
          <w:bCs/>
          <w:iCs/>
          <w:sz w:val="24"/>
          <w:szCs w:val="24"/>
        </w:rPr>
        <w:t xml:space="preserve"> a new </w:t>
      </w:r>
      <w:r w:rsidR="00FE6B88">
        <w:rPr>
          <w:bCs/>
          <w:iCs/>
          <w:sz w:val="24"/>
          <w:szCs w:val="24"/>
        </w:rPr>
        <w:t>p</w:t>
      </w:r>
      <w:r w:rsidR="00FE6B88" w:rsidRPr="00FE6B88">
        <w:rPr>
          <w:bCs/>
          <w:iCs/>
          <w:sz w:val="24"/>
          <w:szCs w:val="24"/>
        </w:rPr>
        <w:t xml:space="preserve">ancreatic enzyme replacement therapy (PERT) </w:t>
      </w:r>
      <w:r w:rsidRPr="00FE6B88">
        <w:rPr>
          <w:bCs/>
          <w:iCs/>
          <w:sz w:val="24"/>
          <w:szCs w:val="24"/>
        </w:rPr>
        <w:t xml:space="preserve">that </w:t>
      </w:r>
      <w:r w:rsidR="00FE6B88">
        <w:rPr>
          <w:bCs/>
          <w:iCs/>
          <w:sz w:val="24"/>
          <w:szCs w:val="24"/>
        </w:rPr>
        <w:t xml:space="preserve">doesn’t come from pigs.  </w:t>
      </w:r>
      <w:r w:rsidR="003E1221">
        <w:rPr>
          <w:bCs/>
          <w:iCs/>
          <w:sz w:val="24"/>
          <w:szCs w:val="24"/>
        </w:rPr>
        <w:t xml:space="preserve">We wanted to define the best dose to further develop this new PERT, using blood tests instead of stool-based tests. </w:t>
      </w:r>
      <w:r w:rsidR="00C229B0" w:rsidRPr="00C229B0">
        <w:rPr>
          <w:bCs/>
          <w:iCs/>
          <w:sz w:val="24"/>
          <w:szCs w:val="24"/>
        </w:rPr>
        <w:t xml:space="preserve"> </w:t>
      </w:r>
    </w:p>
    <w:p w14:paraId="4AB59C81" w14:textId="77777777" w:rsidR="0098362B" w:rsidRPr="00336A08" w:rsidRDefault="0098362B" w:rsidP="00336A08">
      <w:pPr>
        <w:spacing w:after="0" w:line="240" w:lineRule="auto"/>
        <w:jc w:val="both"/>
        <w:rPr>
          <w:bCs/>
          <w:sz w:val="24"/>
          <w:szCs w:val="24"/>
        </w:rPr>
      </w:pPr>
    </w:p>
    <w:p w14:paraId="22D21517" w14:textId="71B32723" w:rsidR="00540382" w:rsidRDefault="0098362B" w:rsidP="00336A08">
      <w:pPr>
        <w:spacing w:after="0" w:line="240" w:lineRule="auto"/>
        <w:jc w:val="both"/>
        <w:rPr>
          <w:b/>
          <w:sz w:val="28"/>
          <w:szCs w:val="28"/>
        </w:rPr>
      </w:pPr>
      <w:r w:rsidRPr="0098362B">
        <w:rPr>
          <w:b/>
          <w:sz w:val="28"/>
          <w:szCs w:val="28"/>
        </w:rPr>
        <w:t>Why is this important?</w:t>
      </w:r>
      <w:r w:rsidR="00540382">
        <w:rPr>
          <w:b/>
          <w:sz w:val="28"/>
          <w:szCs w:val="28"/>
        </w:rPr>
        <w:t xml:space="preserve"> </w:t>
      </w:r>
    </w:p>
    <w:p w14:paraId="5B08D8BD" w14:textId="64AAABC9" w:rsidR="0098362B" w:rsidRPr="00FE6B88" w:rsidRDefault="005C0C4F" w:rsidP="00336A08">
      <w:pPr>
        <w:spacing w:after="0" w:line="240" w:lineRule="auto"/>
        <w:jc w:val="both"/>
        <w:rPr>
          <w:bCs/>
          <w:sz w:val="24"/>
          <w:szCs w:val="24"/>
        </w:rPr>
      </w:pPr>
      <w:r w:rsidRPr="00FE6B88">
        <w:rPr>
          <w:bCs/>
          <w:sz w:val="24"/>
          <w:szCs w:val="24"/>
        </w:rPr>
        <w:t xml:space="preserve">The pancreas makes enzymes to digest fat (“lipase”), protein (“protease”) and starch (“amylase”).  </w:t>
      </w:r>
      <w:r w:rsidR="00FE6B88">
        <w:rPr>
          <w:bCs/>
          <w:sz w:val="24"/>
          <w:szCs w:val="24"/>
        </w:rPr>
        <w:t xml:space="preserve">PERT </w:t>
      </w:r>
      <w:r w:rsidRPr="00FE6B88">
        <w:rPr>
          <w:bCs/>
          <w:sz w:val="24"/>
          <w:szCs w:val="24"/>
        </w:rPr>
        <w:t xml:space="preserve">prevents malnutrition </w:t>
      </w:r>
      <w:r w:rsidR="00FE6B88">
        <w:rPr>
          <w:bCs/>
          <w:sz w:val="24"/>
          <w:szCs w:val="24"/>
        </w:rPr>
        <w:t xml:space="preserve">in people whose </w:t>
      </w:r>
      <w:r w:rsidRPr="00FE6B88">
        <w:rPr>
          <w:bCs/>
          <w:sz w:val="24"/>
          <w:szCs w:val="24"/>
        </w:rPr>
        <w:t>pancreas</w:t>
      </w:r>
      <w:r w:rsidR="00FE6B88">
        <w:rPr>
          <w:bCs/>
          <w:sz w:val="24"/>
          <w:szCs w:val="24"/>
        </w:rPr>
        <w:t xml:space="preserve"> doesn’t work</w:t>
      </w:r>
      <w:r w:rsidRPr="00FE6B88">
        <w:rPr>
          <w:bCs/>
          <w:sz w:val="24"/>
          <w:szCs w:val="24"/>
        </w:rPr>
        <w:t xml:space="preserve">, which </w:t>
      </w:r>
      <w:r w:rsidR="00FE6B88">
        <w:rPr>
          <w:bCs/>
          <w:sz w:val="24"/>
          <w:szCs w:val="24"/>
        </w:rPr>
        <w:t xml:space="preserve">is </w:t>
      </w:r>
      <w:r w:rsidR="004C64A3">
        <w:rPr>
          <w:bCs/>
          <w:sz w:val="24"/>
          <w:szCs w:val="24"/>
        </w:rPr>
        <w:t xml:space="preserve">the case for </w:t>
      </w:r>
      <w:r w:rsidRPr="00FE6B88">
        <w:rPr>
          <w:bCs/>
          <w:sz w:val="24"/>
          <w:szCs w:val="24"/>
        </w:rPr>
        <w:t>most people with CF.</w:t>
      </w:r>
      <w:r w:rsidRPr="00FE6B88">
        <w:rPr>
          <w:sz w:val="24"/>
          <w:szCs w:val="24"/>
        </w:rPr>
        <w:t xml:space="preserve"> </w:t>
      </w:r>
      <w:r w:rsidRPr="00FE6B88">
        <w:rPr>
          <w:bCs/>
          <w:sz w:val="24"/>
          <w:szCs w:val="24"/>
        </w:rPr>
        <w:t xml:space="preserve">PERTs are dosed </w:t>
      </w:r>
      <w:r w:rsidR="00F83127">
        <w:rPr>
          <w:bCs/>
          <w:sz w:val="24"/>
          <w:szCs w:val="24"/>
        </w:rPr>
        <w:t xml:space="preserve">in </w:t>
      </w:r>
      <w:r w:rsidRPr="00FE6B88">
        <w:rPr>
          <w:bCs/>
          <w:sz w:val="24"/>
          <w:szCs w:val="24"/>
        </w:rPr>
        <w:t>lipase</w:t>
      </w:r>
      <w:r w:rsidR="00F83127">
        <w:rPr>
          <w:bCs/>
          <w:sz w:val="24"/>
          <w:szCs w:val="24"/>
        </w:rPr>
        <w:t xml:space="preserve"> units</w:t>
      </w:r>
      <w:r w:rsidR="004C64A3">
        <w:rPr>
          <w:bCs/>
          <w:sz w:val="24"/>
          <w:szCs w:val="24"/>
        </w:rPr>
        <w:t>, but</w:t>
      </w:r>
      <w:r w:rsidR="002C52A3">
        <w:rPr>
          <w:bCs/>
          <w:sz w:val="24"/>
          <w:szCs w:val="24"/>
        </w:rPr>
        <w:t xml:space="preserve"> </w:t>
      </w:r>
      <w:r w:rsidRPr="00FE6B88">
        <w:rPr>
          <w:bCs/>
          <w:sz w:val="24"/>
          <w:szCs w:val="24"/>
        </w:rPr>
        <w:t xml:space="preserve">PERTs also </w:t>
      </w:r>
      <w:r w:rsidR="004C64A3">
        <w:rPr>
          <w:bCs/>
          <w:sz w:val="24"/>
          <w:szCs w:val="24"/>
        </w:rPr>
        <w:t>contain</w:t>
      </w:r>
      <w:r w:rsidRPr="00FE6B88">
        <w:rPr>
          <w:bCs/>
          <w:sz w:val="24"/>
          <w:szCs w:val="24"/>
        </w:rPr>
        <w:t xml:space="preserve"> protease and amylase.  </w:t>
      </w:r>
      <w:r w:rsidR="002C52A3">
        <w:rPr>
          <w:bCs/>
          <w:sz w:val="24"/>
          <w:szCs w:val="24"/>
        </w:rPr>
        <w:t xml:space="preserve">Current </w:t>
      </w:r>
      <w:r w:rsidRPr="00FE6B88">
        <w:rPr>
          <w:bCs/>
          <w:sz w:val="24"/>
          <w:szCs w:val="24"/>
        </w:rPr>
        <w:t>PERT</w:t>
      </w:r>
      <w:r w:rsidR="004C64A3">
        <w:rPr>
          <w:bCs/>
          <w:sz w:val="24"/>
          <w:szCs w:val="24"/>
        </w:rPr>
        <w:t xml:space="preserve"> </w:t>
      </w:r>
      <w:r w:rsidRPr="00FE6B88">
        <w:rPr>
          <w:bCs/>
          <w:sz w:val="24"/>
          <w:szCs w:val="24"/>
        </w:rPr>
        <w:t>come from pig pancreas glands.   Pig PERTs have more protease and amylase and less lipase than human</w:t>
      </w:r>
      <w:r w:rsidR="00F83127">
        <w:rPr>
          <w:bCs/>
          <w:sz w:val="24"/>
          <w:szCs w:val="24"/>
        </w:rPr>
        <w:t xml:space="preserve"> pancreas glands make</w:t>
      </w:r>
      <w:r w:rsidRPr="00FE6B88">
        <w:rPr>
          <w:bCs/>
          <w:sz w:val="24"/>
          <w:szCs w:val="24"/>
        </w:rPr>
        <w:t xml:space="preserve">.  Pig PERTs need </w:t>
      </w:r>
      <w:r w:rsidRPr="00FE6B88">
        <w:rPr>
          <w:bCs/>
          <w:sz w:val="24"/>
          <w:szCs w:val="24"/>
        </w:rPr>
        <w:lastRenderedPageBreak/>
        <w:t xml:space="preserve">plastic coating around </w:t>
      </w:r>
      <w:r w:rsidR="00F83127">
        <w:rPr>
          <w:bCs/>
          <w:sz w:val="24"/>
          <w:szCs w:val="24"/>
        </w:rPr>
        <w:t xml:space="preserve">enzyme </w:t>
      </w:r>
      <w:r w:rsidRPr="00FE6B88">
        <w:rPr>
          <w:bCs/>
          <w:sz w:val="24"/>
          <w:szCs w:val="24"/>
        </w:rPr>
        <w:t>beads to protect them from stomach acid</w:t>
      </w:r>
      <w:r w:rsidR="00F83127">
        <w:rPr>
          <w:bCs/>
          <w:sz w:val="24"/>
          <w:szCs w:val="24"/>
        </w:rPr>
        <w:t xml:space="preserve">.  If the coating doesn’t dissolve </w:t>
      </w:r>
      <w:r w:rsidRPr="00FE6B88">
        <w:rPr>
          <w:bCs/>
          <w:sz w:val="24"/>
          <w:szCs w:val="24"/>
        </w:rPr>
        <w:t xml:space="preserve">until </w:t>
      </w:r>
      <w:r w:rsidR="00FF3DD5">
        <w:rPr>
          <w:bCs/>
          <w:sz w:val="24"/>
          <w:szCs w:val="24"/>
        </w:rPr>
        <w:t xml:space="preserve">after </w:t>
      </w:r>
      <w:r w:rsidR="00F83127">
        <w:rPr>
          <w:bCs/>
          <w:sz w:val="24"/>
          <w:szCs w:val="24"/>
        </w:rPr>
        <w:t xml:space="preserve">the PERTs pass </w:t>
      </w:r>
      <w:r w:rsidRPr="00FE6B88">
        <w:rPr>
          <w:bCs/>
          <w:sz w:val="24"/>
          <w:szCs w:val="24"/>
        </w:rPr>
        <w:t xml:space="preserve">the </w:t>
      </w:r>
      <w:r w:rsidR="00D12D7F">
        <w:rPr>
          <w:bCs/>
          <w:sz w:val="24"/>
          <w:szCs w:val="24"/>
        </w:rPr>
        <w:t xml:space="preserve">critical </w:t>
      </w:r>
      <w:r w:rsidRPr="00FE6B88">
        <w:rPr>
          <w:bCs/>
          <w:sz w:val="24"/>
          <w:szCs w:val="24"/>
        </w:rPr>
        <w:t>areas for digestion</w:t>
      </w:r>
      <w:r w:rsidR="00F83127">
        <w:rPr>
          <w:bCs/>
          <w:sz w:val="24"/>
          <w:szCs w:val="24"/>
        </w:rPr>
        <w:t>,</w:t>
      </w:r>
      <w:r w:rsidR="00F83127" w:rsidRPr="00F83127">
        <w:rPr>
          <w:bCs/>
          <w:sz w:val="24"/>
          <w:szCs w:val="24"/>
          <w:lang w:val="en-US"/>
        </w:rPr>
        <w:t xml:space="preserve"> they </w:t>
      </w:r>
      <w:r w:rsidR="004B0F28">
        <w:rPr>
          <w:bCs/>
          <w:sz w:val="24"/>
          <w:szCs w:val="24"/>
          <w:lang w:val="en-US"/>
        </w:rPr>
        <w:t>will</w:t>
      </w:r>
      <w:r w:rsidR="004B0F28" w:rsidRPr="00F83127">
        <w:rPr>
          <w:bCs/>
          <w:sz w:val="24"/>
          <w:szCs w:val="24"/>
          <w:lang w:val="en-US"/>
        </w:rPr>
        <w:t xml:space="preserve"> </w:t>
      </w:r>
      <w:r w:rsidR="00F83127" w:rsidRPr="00F83127">
        <w:rPr>
          <w:bCs/>
          <w:sz w:val="24"/>
          <w:szCs w:val="24"/>
          <w:lang w:val="en-US"/>
        </w:rPr>
        <w:t>not work as well as they should</w:t>
      </w:r>
      <w:r w:rsidR="00FE6B88">
        <w:rPr>
          <w:bCs/>
          <w:sz w:val="24"/>
          <w:szCs w:val="24"/>
        </w:rPr>
        <w:t>.</w:t>
      </w:r>
      <w:r w:rsidR="00FE6B88" w:rsidRPr="00FE6B88">
        <w:rPr>
          <w:sz w:val="24"/>
          <w:szCs w:val="24"/>
        </w:rPr>
        <w:t xml:space="preserve"> </w:t>
      </w:r>
    </w:p>
    <w:p w14:paraId="75869338" w14:textId="77777777" w:rsidR="005C0C4F" w:rsidRPr="00336A08" w:rsidRDefault="005C0C4F" w:rsidP="00336A08">
      <w:pPr>
        <w:spacing w:after="0" w:line="240" w:lineRule="auto"/>
        <w:jc w:val="both"/>
        <w:rPr>
          <w:b/>
          <w:sz w:val="24"/>
          <w:szCs w:val="24"/>
        </w:rPr>
      </w:pPr>
    </w:p>
    <w:p w14:paraId="71BF3942" w14:textId="00F165A7" w:rsidR="00540382" w:rsidRPr="00540382" w:rsidRDefault="0098362B" w:rsidP="00336A08">
      <w:pPr>
        <w:spacing w:after="0" w:line="240" w:lineRule="auto"/>
        <w:jc w:val="both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did you do?</w:t>
      </w:r>
      <w:r w:rsidR="00540382">
        <w:rPr>
          <w:b/>
          <w:sz w:val="28"/>
          <w:szCs w:val="28"/>
        </w:rPr>
        <w:t xml:space="preserve"> </w:t>
      </w:r>
    </w:p>
    <w:p w14:paraId="3EE415B9" w14:textId="332D9C97" w:rsidR="0098362B" w:rsidRDefault="002C52A3" w:rsidP="00336A08">
      <w:p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We developed </w:t>
      </w:r>
      <w:r w:rsidR="00F83127" w:rsidRPr="00F83127">
        <w:rPr>
          <w:iCs/>
          <w:sz w:val="24"/>
          <w:szCs w:val="24"/>
        </w:rPr>
        <w:t>ANG003</w:t>
      </w:r>
      <w:r>
        <w:rPr>
          <w:iCs/>
          <w:sz w:val="24"/>
          <w:szCs w:val="24"/>
        </w:rPr>
        <w:t xml:space="preserve">, </w:t>
      </w:r>
      <w:r w:rsidR="00F83127" w:rsidRPr="00F83127">
        <w:rPr>
          <w:iCs/>
          <w:sz w:val="24"/>
          <w:szCs w:val="24"/>
        </w:rPr>
        <w:t>a combination of microbial lipase, protease and amylase.   It</w:t>
      </w:r>
      <w:r w:rsidR="00A55CE8">
        <w:rPr>
          <w:iCs/>
          <w:sz w:val="24"/>
          <w:szCs w:val="24"/>
        </w:rPr>
        <w:t xml:space="preserve"> is</w:t>
      </w:r>
      <w:r w:rsidR="00F83127" w:rsidRPr="00F83127">
        <w:rPr>
          <w:iCs/>
          <w:sz w:val="24"/>
          <w:szCs w:val="24"/>
        </w:rPr>
        <w:t xml:space="preserve"> stable in stomach acid and the upper intestine</w:t>
      </w:r>
      <w:r w:rsidR="004B0F28">
        <w:rPr>
          <w:iCs/>
          <w:sz w:val="24"/>
          <w:szCs w:val="24"/>
        </w:rPr>
        <w:t xml:space="preserve"> without </w:t>
      </w:r>
      <w:r w:rsidR="00915E47">
        <w:rPr>
          <w:iCs/>
          <w:sz w:val="24"/>
          <w:szCs w:val="24"/>
        </w:rPr>
        <w:t xml:space="preserve">needing </w:t>
      </w:r>
      <w:r w:rsidR="004B0F28">
        <w:rPr>
          <w:iCs/>
          <w:sz w:val="24"/>
          <w:szCs w:val="24"/>
        </w:rPr>
        <w:t>plastic coating</w:t>
      </w:r>
      <w:r w:rsidR="00F83127" w:rsidRPr="00F83127">
        <w:rPr>
          <w:iCs/>
          <w:sz w:val="24"/>
          <w:szCs w:val="24"/>
        </w:rPr>
        <w:t>.  ANG003 is taken during meal</w:t>
      </w:r>
      <w:r>
        <w:rPr>
          <w:iCs/>
          <w:sz w:val="24"/>
          <w:szCs w:val="24"/>
        </w:rPr>
        <w:t>s</w:t>
      </w:r>
      <w:r w:rsidR="00F83127" w:rsidRPr="00F83127">
        <w:rPr>
          <w:iCs/>
          <w:sz w:val="24"/>
          <w:szCs w:val="24"/>
        </w:rPr>
        <w:t xml:space="preserve"> </w:t>
      </w:r>
      <w:r w:rsidR="00E31C03">
        <w:rPr>
          <w:iCs/>
          <w:sz w:val="24"/>
          <w:szCs w:val="24"/>
        </w:rPr>
        <w:t xml:space="preserve">to </w:t>
      </w:r>
      <w:r w:rsidR="00F83127" w:rsidRPr="00F83127">
        <w:rPr>
          <w:iCs/>
          <w:sz w:val="24"/>
          <w:szCs w:val="24"/>
        </w:rPr>
        <w:t xml:space="preserve">mix with food </w:t>
      </w:r>
      <w:r>
        <w:rPr>
          <w:iCs/>
          <w:sz w:val="24"/>
          <w:szCs w:val="24"/>
        </w:rPr>
        <w:t xml:space="preserve">and </w:t>
      </w:r>
      <w:r w:rsidR="00F83127" w:rsidRPr="00F83127">
        <w:rPr>
          <w:iCs/>
          <w:sz w:val="24"/>
          <w:szCs w:val="24"/>
        </w:rPr>
        <w:t xml:space="preserve">improve digestion.  </w:t>
      </w:r>
    </w:p>
    <w:p w14:paraId="2FD851DD" w14:textId="77777777" w:rsidR="002C52A3" w:rsidRDefault="002C52A3" w:rsidP="00336A08">
      <w:pPr>
        <w:spacing w:after="0" w:line="240" w:lineRule="auto"/>
        <w:jc w:val="both"/>
        <w:rPr>
          <w:iCs/>
          <w:sz w:val="24"/>
          <w:szCs w:val="24"/>
        </w:rPr>
      </w:pPr>
    </w:p>
    <w:p w14:paraId="62E57110" w14:textId="3AA4ED7F" w:rsidR="00E31C03" w:rsidRDefault="00E31C03" w:rsidP="00336A08">
      <w:pPr>
        <w:spacing w:after="0" w:line="240" w:lineRule="auto"/>
        <w:jc w:val="both"/>
        <w:rPr>
          <w:iCs/>
          <w:sz w:val="24"/>
          <w:szCs w:val="24"/>
          <w:lang w:val="en-US"/>
        </w:rPr>
      </w:pPr>
      <w:r w:rsidRPr="00E31C03">
        <w:rPr>
          <w:iCs/>
          <w:sz w:val="24"/>
          <w:szCs w:val="24"/>
          <w:lang w:val="en-US"/>
        </w:rPr>
        <w:t xml:space="preserve">We </w:t>
      </w:r>
      <w:r>
        <w:rPr>
          <w:iCs/>
          <w:sz w:val="24"/>
          <w:szCs w:val="24"/>
          <w:lang w:val="en-US"/>
        </w:rPr>
        <w:t>studied</w:t>
      </w:r>
      <w:r w:rsidRPr="00E31C03">
        <w:rPr>
          <w:iCs/>
          <w:sz w:val="24"/>
          <w:szCs w:val="24"/>
          <w:lang w:val="en-US"/>
        </w:rPr>
        <w:t xml:space="preserve"> ANG003</w:t>
      </w:r>
      <w:r>
        <w:rPr>
          <w:iCs/>
          <w:sz w:val="24"/>
          <w:szCs w:val="24"/>
          <w:lang w:val="en-US"/>
        </w:rPr>
        <w:t xml:space="preserve"> using</w:t>
      </w:r>
      <w:r w:rsidRPr="00E31C03">
        <w:rPr>
          <w:bCs/>
          <w:iCs/>
          <w:sz w:val="24"/>
          <w:szCs w:val="24"/>
          <w:lang w:val="en-US"/>
        </w:rPr>
        <w:t xml:space="preserve"> blood-based tests to </w:t>
      </w:r>
      <w:r w:rsidR="004B0F28">
        <w:rPr>
          <w:bCs/>
          <w:iCs/>
          <w:sz w:val="24"/>
          <w:szCs w:val="24"/>
          <w:lang w:val="en-US"/>
        </w:rPr>
        <w:t>examine</w:t>
      </w:r>
      <w:r w:rsidR="004B0F28" w:rsidRPr="00E31C03">
        <w:rPr>
          <w:bCs/>
          <w:iCs/>
          <w:sz w:val="24"/>
          <w:szCs w:val="24"/>
          <w:lang w:val="en-US"/>
        </w:rPr>
        <w:t xml:space="preserve"> </w:t>
      </w:r>
      <w:r w:rsidRPr="00E31C03">
        <w:rPr>
          <w:bCs/>
          <w:iCs/>
          <w:sz w:val="24"/>
          <w:szCs w:val="24"/>
          <w:lang w:val="en-US"/>
        </w:rPr>
        <w:t>the three enzyme</w:t>
      </w:r>
      <w:r w:rsidR="003634D3">
        <w:rPr>
          <w:bCs/>
          <w:iCs/>
          <w:sz w:val="24"/>
          <w:szCs w:val="24"/>
          <w:lang w:val="en-US"/>
        </w:rPr>
        <w:t>s</w:t>
      </w:r>
      <w:r>
        <w:rPr>
          <w:bCs/>
          <w:iCs/>
          <w:sz w:val="24"/>
          <w:szCs w:val="24"/>
          <w:lang w:val="en-US"/>
        </w:rPr>
        <w:t xml:space="preserve">. </w:t>
      </w:r>
      <w:r w:rsidRPr="00E31C03">
        <w:rPr>
          <w:bCs/>
          <w:iCs/>
          <w:sz w:val="24"/>
          <w:szCs w:val="24"/>
          <w:lang w:val="en-US"/>
        </w:rPr>
        <w:t xml:space="preserve"> </w:t>
      </w:r>
      <w:r w:rsidRPr="00E31C03">
        <w:rPr>
          <w:iCs/>
          <w:sz w:val="24"/>
          <w:szCs w:val="24"/>
          <w:lang w:val="en-US"/>
        </w:rPr>
        <w:t>We gave</w:t>
      </w:r>
      <w:r w:rsidR="00C34040">
        <w:rPr>
          <w:iCs/>
          <w:sz w:val="24"/>
          <w:szCs w:val="24"/>
          <w:lang w:val="en-US"/>
        </w:rPr>
        <w:t xml:space="preserve"> 51</w:t>
      </w:r>
      <w:r w:rsidRPr="00E31C03">
        <w:rPr>
          <w:iCs/>
          <w:sz w:val="24"/>
          <w:szCs w:val="24"/>
          <w:lang w:val="en-US"/>
        </w:rPr>
        <w:t xml:space="preserve"> people with CF a meal </w:t>
      </w:r>
      <w:r w:rsidR="002C52A3">
        <w:rPr>
          <w:iCs/>
          <w:sz w:val="24"/>
          <w:szCs w:val="24"/>
          <w:lang w:val="en-US"/>
        </w:rPr>
        <w:t xml:space="preserve">plus </w:t>
      </w:r>
      <w:r w:rsidRPr="00E31C03">
        <w:rPr>
          <w:iCs/>
          <w:sz w:val="24"/>
          <w:szCs w:val="24"/>
          <w:lang w:val="en-US"/>
        </w:rPr>
        <w:t>omega-3 fats (DHA+EPA) to study lipase</w:t>
      </w:r>
      <w:r>
        <w:rPr>
          <w:iCs/>
          <w:sz w:val="24"/>
          <w:szCs w:val="24"/>
          <w:lang w:val="en-US"/>
        </w:rPr>
        <w:t xml:space="preserve">, </w:t>
      </w:r>
      <w:r w:rsidRPr="00E31C03">
        <w:rPr>
          <w:iCs/>
          <w:sz w:val="24"/>
          <w:szCs w:val="24"/>
          <w:lang w:val="en-US"/>
        </w:rPr>
        <w:t>whey protein to study protease</w:t>
      </w:r>
      <w:r w:rsidR="00320EE2">
        <w:rPr>
          <w:iCs/>
          <w:sz w:val="24"/>
          <w:szCs w:val="24"/>
          <w:lang w:val="en-US"/>
        </w:rPr>
        <w:t>,</w:t>
      </w:r>
      <w:r w:rsidRPr="00E31C03">
        <w:rPr>
          <w:iCs/>
          <w:sz w:val="24"/>
          <w:szCs w:val="24"/>
          <w:lang w:val="en-US"/>
        </w:rPr>
        <w:t xml:space="preserve"> and potato starch to study amylase</w:t>
      </w:r>
      <w:r>
        <w:rPr>
          <w:iCs/>
          <w:sz w:val="24"/>
          <w:szCs w:val="24"/>
          <w:lang w:val="en-US"/>
        </w:rPr>
        <w:t xml:space="preserve">.  </w:t>
      </w:r>
      <w:r w:rsidRPr="00E31C03">
        <w:rPr>
          <w:bCs/>
          <w:iCs/>
          <w:sz w:val="24"/>
          <w:szCs w:val="24"/>
          <w:lang w:val="en-US"/>
        </w:rPr>
        <w:t xml:space="preserve">People </w:t>
      </w:r>
      <w:r w:rsidRPr="00E31C03">
        <w:rPr>
          <w:iCs/>
          <w:sz w:val="24"/>
          <w:szCs w:val="24"/>
          <w:lang w:val="en-US"/>
        </w:rPr>
        <w:t xml:space="preserve">with CF were studied once without </w:t>
      </w:r>
      <w:r w:rsidR="0087152A">
        <w:rPr>
          <w:iCs/>
          <w:sz w:val="24"/>
          <w:szCs w:val="24"/>
          <w:lang w:val="en-US"/>
        </w:rPr>
        <w:t xml:space="preserve">taking </w:t>
      </w:r>
      <w:r w:rsidRPr="00E31C03">
        <w:rPr>
          <w:iCs/>
          <w:sz w:val="24"/>
          <w:szCs w:val="24"/>
          <w:lang w:val="en-US"/>
        </w:rPr>
        <w:t xml:space="preserve">any </w:t>
      </w:r>
      <w:r w:rsidR="002C52A3">
        <w:rPr>
          <w:iCs/>
          <w:sz w:val="24"/>
          <w:szCs w:val="24"/>
          <w:lang w:val="en-US"/>
        </w:rPr>
        <w:t xml:space="preserve">PERT </w:t>
      </w:r>
      <w:r w:rsidRPr="00E31C03">
        <w:rPr>
          <w:iCs/>
          <w:sz w:val="24"/>
          <w:szCs w:val="24"/>
          <w:lang w:val="en-US"/>
        </w:rPr>
        <w:t xml:space="preserve">and </w:t>
      </w:r>
      <w:r w:rsidR="004B0F28">
        <w:rPr>
          <w:iCs/>
          <w:sz w:val="24"/>
          <w:szCs w:val="24"/>
          <w:lang w:val="en-US"/>
        </w:rPr>
        <w:t>once</w:t>
      </w:r>
      <w:r w:rsidRPr="00E31C03">
        <w:rPr>
          <w:iCs/>
          <w:sz w:val="24"/>
          <w:szCs w:val="24"/>
          <w:lang w:val="en-US"/>
        </w:rPr>
        <w:t xml:space="preserve"> after taking a single dose of four </w:t>
      </w:r>
      <w:r w:rsidR="003634D3">
        <w:rPr>
          <w:iCs/>
          <w:sz w:val="24"/>
          <w:szCs w:val="24"/>
          <w:lang w:val="en-US"/>
        </w:rPr>
        <w:t xml:space="preserve">possible </w:t>
      </w:r>
      <w:r w:rsidRPr="00E31C03">
        <w:rPr>
          <w:iCs/>
          <w:sz w:val="24"/>
          <w:szCs w:val="24"/>
          <w:lang w:val="en-US"/>
        </w:rPr>
        <w:t xml:space="preserve">combinations of </w:t>
      </w:r>
      <w:r w:rsidR="00D12D7F">
        <w:rPr>
          <w:iCs/>
          <w:sz w:val="24"/>
          <w:szCs w:val="24"/>
          <w:lang w:val="en-US"/>
        </w:rPr>
        <w:t xml:space="preserve">ANG003 </w:t>
      </w:r>
      <w:r w:rsidRPr="00E31C03">
        <w:rPr>
          <w:iCs/>
          <w:sz w:val="24"/>
          <w:szCs w:val="24"/>
          <w:lang w:val="en-US"/>
        </w:rPr>
        <w:t>lipase, protease, and amylase.</w:t>
      </w:r>
    </w:p>
    <w:p w14:paraId="3BE60B57" w14:textId="77777777" w:rsidR="00E31C03" w:rsidRPr="00F83127" w:rsidRDefault="00E31C03" w:rsidP="00336A08">
      <w:pPr>
        <w:spacing w:after="0" w:line="240" w:lineRule="auto"/>
        <w:jc w:val="both"/>
        <w:rPr>
          <w:sz w:val="24"/>
          <w:szCs w:val="24"/>
        </w:rPr>
      </w:pPr>
    </w:p>
    <w:p w14:paraId="584AAFED" w14:textId="47D55590" w:rsidR="00540382" w:rsidRPr="00540382" w:rsidRDefault="0098362B" w:rsidP="00336A08">
      <w:pPr>
        <w:spacing w:after="0" w:line="240" w:lineRule="auto"/>
        <w:jc w:val="both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did you find?</w:t>
      </w:r>
      <w:r w:rsidR="00540382">
        <w:rPr>
          <w:b/>
          <w:sz w:val="28"/>
          <w:szCs w:val="28"/>
        </w:rPr>
        <w:t xml:space="preserve"> </w:t>
      </w:r>
    </w:p>
    <w:p w14:paraId="6FD16F68" w14:textId="61E08ED5" w:rsidR="0098362B" w:rsidRPr="002C52A3" w:rsidRDefault="002C52A3" w:rsidP="00336A08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2C52A3">
        <w:rPr>
          <w:bCs/>
          <w:sz w:val="24"/>
          <w:szCs w:val="24"/>
          <w:lang w:val="en-US"/>
        </w:rPr>
        <w:t>ANG003 lipase significantly improved DHA+EPA and total fat absorption in a dose dependent manner. Th</w:t>
      </w:r>
      <w:r>
        <w:rPr>
          <w:bCs/>
          <w:sz w:val="24"/>
          <w:szCs w:val="24"/>
          <w:lang w:val="en-US"/>
        </w:rPr>
        <w:t>e th</w:t>
      </w:r>
      <w:r w:rsidRPr="002C52A3">
        <w:rPr>
          <w:bCs/>
          <w:sz w:val="24"/>
          <w:szCs w:val="24"/>
          <w:lang w:val="en-US"/>
        </w:rPr>
        <w:t xml:space="preserve">ree </w:t>
      </w:r>
      <w:r>
        <w:rPr>
          <w:bCs/>
          <w:sz w:val="24"/>
          <w:szCs w:val="24"/>
          <w:lang w:val="en-US"/>
        </w:rPr>
        <w:t xml:space="preserve">highest </w:t>
      </w:r>
      <w:r w:rsidRPr="002C52A3">
        <w:rPr>
          <w:bCs/>
          <w:sz w:val="24"/>
          <w:szCs w:val="24"/>
          <w:lang w:val="en-US"/>
        </w:rPr>
        <w:t xml:space="preserve">doses of lipase were better than no PERT and the top two doses showed the best fat absorption.  DHA+EPA are healthy fats and </w:t>
      </w:r>
      <w:r>
        <w:rPr>
          <w:bCs/>
          <w:sz w:val="24"/>
          <w:szCs w:val="24"/>
          <w:lang w:val="en-US"/>
        </w:rPr>
        <w:t xml:space="preserve">blood levels are </w:t>
      </w:r>
      <w:r w:rsidRPr="002C52A3">
        <w:rPr>
          <w:bCs/>
          <w:sz w:val="24"/>
          <w:szCs w:val="24"/>
          <w:lang w:val="en-US"/>
        </w:rPr>
        <w:t xml:space="preserve">low in people with CF. Results for ANG003 protease and amylase activity suggest that doses lower than those in current pig-based PERTs may </w:t>
      </w:r>
      <w:r w:rsidR="00EC4886">
        <w:rPr>
          <w:bCs/>
          <w:sz w:val="24"/>
          <w:szCs w:val="24"/>
          <w:lang w:val="en-US"/>
        </w:rPr>
        <w:t>work well</w:t>
      </w:r>
      <w:r w:rsidRPr="002C52A3">
        <w:rPr>
          <w:bCs/>
          <w:sz w:val="24"/>
          <w:szCs w:val="24"/>
          <w:lang w:val="en-US"/>
        </w:rPr>
        <w:t xml:space="preserve">.   </w:t>
      </w:r>
      <w:r w:rsidR="00EC4886">
        <w:rPr>
          <w:bCs/>
          <w:sz w:val="24"/>
          <w:szCs w:val="24"/>
          <w:lang w:val="en-US"/>
        </w:rPr>
        <w:t>Also</w:t>
      </w:r>
      <w:r w:rsidRPr="002C52A3">
        <w:rPr>
          <w:bCs/>
          <w:sz w:val="24"/>
          <w:szCs w:val="24"/>
          <w:lang w:val="en-US"/>
        </w:rPr>
        <w:t>, improvements in blood sugar levels measured by continuous glucose monitoring were</w:t>
      </w:r>
      <w:r w:rsidR="00EC4886">
        <w:rPr>
          <w:bCs/>
          <w:sz w:val="24"/>
          <w:szCs w:val="24"/>
          <w:lang w:val="en-US"/>
        </w:rPr>
        <w:t xml:space="preserve"> seen, with fewer high and fewer low blood sugar levels</w:t>
      </w:r>
      <w:r w:rsidRPr="002C52A3">
        <w:rPr>
          <w:bCs/>
          <w:sz w:val="24"/>
          <w:szCs w:val="24"/>
          <w:lang w:val="en-US"/>
        </w:rPr>
        <w:t xml:space="preserve">. </w:t>
      </w:r>
      <w:r w:rsidR="00EC4886">
        <w:rPr>
          <w:bCs/>
          <w:sz w:val="24"/>
          <w:szCs w:val="24"/>
          <w:lang w:val="en-US"/>
        </w:rPr>
        <w:t xml:space="preserve"> </w:t>
      </w:r>
      <w:r w:rsidRPr="002C52A3">
        <w:rPr>
          <w:bCs/>
          <w:sz w:val="24"/>
          <w:szCs w:val="24"/>
          <w:lang w:val="en-US"/>
        </w:rPr>
        <w:t>Adverse events were mild, and no serious adverse events occurred</w:t>
      </w:r>
      <w:r w:rsidR="004C64A3">
        <w:rPr>
          <w:bCs/>
          <w:sz w:val="24"/>
          <w:szCs w:val="24"/>
          <w:lang w:val="en-US"/>
        </w:rPr>
        <w:t xml:space="preserve"> in any of the participants</w:t>
      </w:r>
      <w:r w:rsidRPr="002C52A3">
        <w:rPr>
          <w:bCs/>
          <w:sz w:val="24"/>
          <w:szCs w:val="24"/>
          <w:lang w:val="en-US"/>
        </w:rPr>
        <w:t>.</w:t>
      </w:r>
    </w:p>
    <w:p w14:paraId="7EF3C248" w14:textId="77777777" w:rsidR="002C52A3" w:rsidRPr="00336A08" w:rsidRDefault="002C52A3" w:rsidP="00336A08">
      <w:pPr>
        <w:spacing w:after="0" w:line="240" w:lineRule="auto"/>
        <w:jc w:val="both"/>
        <w:rPr>
          <w:bCs/>
          <w:sz w:val="24"/>
          <w:szCs w:val="24"/>
        </w:rPr>
      </w:pPr>
    </w:p>
    <w:p w14:paraId="33103A36" w14:textId="5E40615C" w:rsidR="00540382" w:rsidRPr="00540382" w:rsidRDefault="0098362B" w:rsidP="00336A08">
      <w:pPr>
        <w:spacing w:after="0" w:line="240" w:lineRule="auto"/>
        <w:jc w:val="both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does this mean and reasons for caution?</w:t>
      </w:r>
      <w:r w:rsidR="00540382">
        <w:rPr>
          <w:b/>
          <w:sz w:val="28"/>
          <w:szCs w:val="28"/>
        </w:rPr>
        <w:t xml:space="preserve"> </w:t>
      </w:r>
    </w:p>
    <w:p w14:paraId="45B4DD61" w14:textId="028D2C2B" w:rsidR="00FF3DD5" w:rsidRPr="00FF3DD5" w:rsidRDefault="00FF3DD5" w:rsidP="00336A08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Pig </w:t>
      </w:r>
      <w:r w:rsidRPr="00FF3DD5">
        <w:rPr>
          <w:bCs/>
          <w:sz w:val="24"/>
          <w:szCs w:val="24"/>
          <w:lang w:val="en-US"/>
        </w:rPr>
        <w:t xml:space="preserve">PERTs are dosed based on historical practice focused on gastrointestinal </w:t>
      </w:r>
      <w:r>
        <w:rPr>
          <w:bCs/>
          <w:sz w:val="24"/>
          <w:szCs w:val="24"/>
          <w:lang w:val="en-US"/>
        </w:rPr>
        <w:t xml:space="preserve">(GI) </w:t>
      </w:r>
      <w:r w:rsidRPr="00FF3DD5">
        <w:rPr>
          <w:bCs/>
          <w:sz w:val="24"/>
          <w:szCs w:val="24"/>
          <w:lang w:val="en-US"/>
        </w:rPr>
        <w:t>symptoms.</w:t>
      </w:r>
      <w:r>
        <w:rPr>
          <w:bCs/>
          <w:sz w:val="24"/>
          <w:szCs w:val="24"/>
          <w:lang w:val="en-US"/>
        </w:rPr>
        <w:t xml:space="preserve">  PERTs have been shown to work compared to placebo using</w:t>
      </w:r>
      <w:r w:rsidRPr="00FF3DD5">
        <w:rPr>
          <w:bCs/>
          <w:sz w:val="24"/>
          <w:szCs w:val="24"/>
          <w:lang w:val="en-US"/>
        </w:rPr>
        <w:t xml:space="preserve"> </w:t>
      </w:r>
      <w:r w:rsidRPr="002C52A3">
        <w:rPr>
          <w:bCs/>
          <w:sz w:val="24"/>
          <w:szCs w:val="24"/>
          <w:lang w:val="en-US"/>
        </w:rPr>
        <w:t xml:space="preserve">stool-based tests </w:t>
      </w:r>
      <w:r w:rsidRPr="00FF3DD5">
        <w:rPr>
          <w:bCs/>
          <w:sz w:val="24"/>
          <w:szCs w:val="24"/>
          <w:lang w:val="en-US"/>
        </w:rPr>
        <w:t>(“coefficient of fat absorption”</w:t>
      </w:r>
      <w:r>
        <w:rPr>
          <w:bCs/>
          <w:sz w:val="24"/>
          <w:szCs w:val="24"/>
          <w:lang w:val="en-US"/>
        </w:rPr>
        <w:t>; CFA</w:t>
      </w:r>
      <w:r w:rsidRPr="00FF3DD5"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  <w:lang w:val="en-US"/>
        </w:rPr>
        <w:t xml:space="preserve">, but CFA can’t be used to define dose.  We have shown that a blood-based test can </w:t>
      </w:r>
      <w:r w:rsidR="00D065EC">
        <w:rPr>
          <w:bCs/>
          <w:sz w:val="24"/>
          <w:szCs w:val="24"/>
          <w:lang w:val="en-US"/>
        </w:rPr>
        <w:t xml:space="preserve">be a simple test to measure how enzymes work and </w:t>
      </w:r>
      <w:r>
        <w:rPr>
          <w:bCs/>
          <w:sz w:val="24"/>
          <w:szCs w:val="24"/>
          <w:lang w:val="en-US"/>
        </w:rPr>
        <w:t xml:space="preserve">show differences between different doses.  </w:t>
      </w:r>
      <w:r w:rsidRPr="00FF3DD5">
        <w:rPr>
          <w:bCs/>
          <w:sz w:val="24"/>
          <w:szCs w:val="24"/>
          <w:lang w:val="en-US"/>
        </w:rPr>
        <w:t>This study</w:t>
      </w:r>
      <w:r>
        <w:rPr>
          <w:bCs/>
          <w:sz w:val="24"/>
          <w:szCs w:val="24"/>
          <w:lang w:val="en-US"/>
        </w:rPr>
        <w:t xml:space="preserve"> was a first step</w:t>
      </w:r>
      <w:r w:rsidRPr="00FF3DD5">
        <w:rPr>
          <w:bCs/>
          <w:sz w:val="24"/>
          <w:szCs w:val="24"/>
          <w:lang w:val="en-US"/>
        </w:rPr>
        <w:t xml:space="preserve">.  </w:t>
      </w:r>
      <w:r>
        <w:rPr>
          <w:bCs/>
          <w:sz w:val="24"/>
          <w:szCs w:val="24"/>
          <w:lang w:val="en-US"/>
        </w:rPr>
        <w:t xml:space="preserve">Although we studied different combinations of doses, each person took only </w:t>
      </w:r>
      <w:r w:rsidRPr="00FF3DD5">
        <w:rPr>
          <w:bCs/>
          <w:sz w:val="24"/>
          <w:szCs w:val="24"/>
          <w:lang w:val="en-US"/>
        </w:rPr>
        <w:t>a single dose of ANG003</w:t>
      </w:r>
      <w:r>
        <w:rPr>
          <w:bCs/>
          <w:sz w:val="24"/>
          <w:szCs w:val="24"/>
          <w:lang w:val="en-US"/>
        </w:rPr>
        <w:t xml:space="preserve"> with one meal.  For that reason, we don’t yet know </w:t>
      </w:r>
      <w:r w:rsidRPr="00FF3DD5">
        <w:rPr>
          <w:bCs/>
          <w:sz w:val="24"/>
          <w:szCs w:val="24"/>
          <w:lang w:val="en-US"/>
        </w:rPr>
        <w:t>about the long-term effects of</w:t>
      </w:r>
      <w:r>
        <w:rPr>
          <w:bCs/>
          <w:sz w:val="24"/>
          <w:szCs w:val="24"/>
          <w:lang w:val="en-US"/>
        </w:rPr>
        <w:t xml:space="preserve"> ANG003</w:t>
      </w:r>
      <w:r w:rsidRPr="00FF3DD5">
        <w:rPr>
          <w:bCs/>
          <w:sz w:val="24"/>
          <w:szCs w:val="24"/>
          <w:lang w:val="en-US"/>
        </w:rPr>
        <w:t xml:space="preserve">.  </w:t>
      </w:r>
    </w:p>
    <w:p w14:paraId="6B52BD1B" w14:textId="77777777" w:rsidR="0098362B" w:rsidRDefault="0098362B" w:rsidP="00336A08">
      <w:pPr>
        <w:spacing w:after="0" w:line="240" w:lineRule="auto"/>
        <w:jc w:val="both"/>
        <w:rPr>
          <w:bCs/>
          <w:sz w:val="24"/>
          <w:szCs w:val="24"/>
          <w:lang w:val="en-US"/>
        </w:rPr>
      </w:pPr>
    </w:p>
    <w:p w14:paraId="3B03F786" w14:textId="77777777" w:rsidR="00336A08" w:rsidRDefault="00336A08" w:rsidP="00336A08">
      <w:pPr>
        <w:spacing w:after="0" w:line="240" w:lineRule="auto"/>
        <w:jc w:val="both"/>
        <w:rPr>
          <w:bCs/>
          <w:sz w:val="24"/>
          <w:szCs w:val="24"/>
          <w:lang w:val="en-US"/>
        </w:rPr>
      </w:pPr>
    </w:p>
    <w:p w14:paraId="15EEE77C" w14:textId="77777777" w:rsidR="00336A08" w:rsidRDefault="00336A08" w:rsidP="00336A08">
      <w:pPr>
        <w:spacing w:after="0" w:line="240" w:lineRule="auto"/>
        <w:jc w:val="both"/>
        <w:rPr>
          <w:bCs/>
          <w:sz w:val="24"/>
          <w:szCs w:val="24"/>
          <w:lang w:val="en-US"/>
        </w:rPr>
      </w:pPr>
    </w:p>
    <w:p w14:paraId="341DC909" w14:textId="77777777" w:rsidR="00336A08" w:rsidRPr="00336A08" w:rsidRDefault="00336A08" w:rsidP="00336A08">
      <w:pPr>
        <w:spacing w:after="0" w:line="240" w:lineRule="auto"/>
        <w:jc w:val="both"/>
        <w:rPr>
          <w:bCs/>
          <w:sz w:val="24"/>
          <w:szCs w:val="24"/>
          <w:lang w:val="en-US"/>
        </w:rPr>
      </w:pPr>
    </w:p>
    <w:p w14:paraId="635AB057" w14:textId="66E3E8E0" w:rsidR="00540382" w:rsidRDefault="0098362B" w:rsidP="00336A08">
      <w:pPr>
        <w:spacing w:after="0" w:line="240" w:lineRule="auto"/>
        <w:jc w:val="both"/>
        <w:rPr>
          <w:b/>
          <w:sz w:val="28"/>
          <w:szCs w:val="28"/>
        </w:rPr>
      </w:pPr>
      <w:r w:rsidRPr="0098362B">
        <w:rPr>
          <w:b/>
          <w:sz w:val="28"/>
          <w:szCs w:val="28"/>
        </w:rPr>
        <w:t>What’s next?</w:t>
      </w:r>
      <w:r w:rsidR="00540382">
        <w:rPr>
          <w:b/>
          <w:sz w:val="28"/>
          <w:szCs w:val="28"/>
        </w:rPr>
        <w:t xml:space="preserve"> </w:t>
      </w:r>
    </w:p>
    <w:p w14:paraId="13583F8F" w14:textId="34EA5E4A" w:rsidR="002C52A3" w:rsidRPr="002C52A3" w:rsidRDefault="002C52A3" w:rsidP="00336A08">
      <w:pPr>
        <w:spacing w:after="0" w:line="240" w:lineRule="auto"/>
        <w:jc w:val="both"/>
        <w:rPr>
          <w:bCs/>
          <w:sz w:val="24"/>
          <w:szCs w:val="28"/>
          <w:lang w:val="en-US"/>
        </w:rPr>
      </w:pPr>
      <w:r w:rsidRPr="002C52A3">
        <w:rPr>
          <w:bCs/>
          <w:sz w:val="24"/>
          <w:szCs w:val="28"/>
          <w:lang w:val="en-US"/>
        </w:rPr>
        <w:t>Based on these results, a Phase 2 study is planned</w:t>
      </w:r>
      <w:r w:rsidR="00EC4886">
        <w:rPr>
          <w:bCs/>
          <w:sz w:val="24"/>
          <w:szCs w:val="28"/>
          <w:lang w:val="en-US"/>
        </w:rPr>
        <w:t xml:space="preserve">.  We will </w:t>
      </w:r>
      <w:r w:rsidRPr="002C52A3">
        <w:rPr>
          <w:bCs/>
          <w:sz w:val="24"/>
          <w:szCs w:val="28"/>
          <w:lang w:val="en-US"/>
        </w:rPr>
        <w:t xml:space="preserve">give ANG003 with all meals and snacks over several </w:t>
      </w:r>
      <w:r w:rsidR="00EC4886" w:rsidRPr="002C52A3">
        <w:rPr>
          <w:bCs/>
          <w:sz w:val="24"/>
          <w:szCs w:val="28"/>
          <w:lang w:val="en-US"/>
        </w:rPr>
        <w:t>weeks</w:t>
      </w:r>
      <w:r w:rsidR="00EC4886">
        <w:rPr>
          <w:bCs/>
          <w:sz w:val="24"/>
          <w:szCs w:val="28"/>
          <w:lang w:val="en-US"/>
        </w:rPr>
        <w:t xml:space="preserve"> and compare ANG003 to pig PERT.  We aim </w:t>
      </w:r>
      <w:r w:rsidRPr="002C52A3">
        <w:rPr>
          <w:bCs/>
          <w:sz w:val="24"/>
          <w:szCs w:val="28"/>
          <w:lang w:val="en-US"/>
        </w:rPr>
        <w:t xml:space="preserve">to correlate the blood tests </w:t>
      </w:r>
      <w:r w:rsidR="00EC4886">
        <w:rPr>
          <w:bCs/>
          <w:sz w:val="24"/>
          <w:szCs w:val="28"/>
          <w:lang w:val="en-US"/>
        </w:rPr>
        <w:t xml:space="preserve">we developed </w:t>
      </w:r>
      <w:r w:rsidRPr="002C52A3">
        <w:rPr>
          <w:bCs/>
          <w:sz w:val="24"/>
          <w:szCs w:val="28"/>
          <w:lang w:val="en-US"/>
        </w:rPr>
        <w:t xml:space="preserve">with </w:t>
      </w:r>
      <w:bookmarkStart w:id="0" w:name="_Hlk204520659"/>
      <w:r w:rsidR="00EC4886">
        <w:rPr>
          <w:bCs/>
          <w:sz w:val="24"/>
          <w:szCs w:val="28"/>
          <w:lang w:val="en-US"/>
        </w:rPr>
        <w:t xml:space="preserve">historical </w:t>
      </w:r>
      <w:r w:rsidRPr="002C52A3">
        <w:rPr>
          <w:bCs/>
          <w:sz w:val="24"/>
          <w:szCs w:val="28"/>
          <w:lang w:val="en-US"/>
        </w:rPr>
        <w:t xml:space="preserve">stool-based tests </w:t>
      </w:r>
      <w:r w:rsidR="00EC4886">
        <w:rPr>
          <w:bCs/>
          <w:sz w:val="24"/>
          <w:szCs w:val="28"/>
          <w:lang w:val="en-US"/>
        </w:rPr>
        <w:t>(</w:t>
      </w:r>
      <w:bookmarkEnd w:id="0"/>
      <w:r w:rsidR="00FF3DD5">
        <w:rPr>
          <w:bCs/>
          <w:sz w:val="24"/>
          <w:szCs w:val="28"/>
          <w:lang w:val="en-US"/>
        </w:rPr>
        <w:t xml:space="preserve">CFA) </w:t>
      </w:r>
      <w:r w:rsidRPr="002C52A3">
        <w:rPr>
          <w:bCs/>
          <w:sz w:val="24"/>
          <w:szCs w:val="28"/>
          <w:lang w:val="en-US"/>
        </w:rPr>
        <w:t>and wit</w:t>
      </w:r>
      <w:r w:rsidR="00EC4886">
        <w:rPr>
          <w:bCs/>
          <w:sz w:val="24"/>
          <w:szCs w:val="28"/>
          <w:lang w:val="en-US"/>
        </w:rPr>
        <w:t xml:space="preserve">h </w:t>
      </w:r>
      <w:r w:rsidR="00FF3DD5">
        <w:rPr>
          <w:bCs/>
          <w:sz w:val="24"/>
          <w:szCs w:val="28"/>
          <w:lang w:val="en-US"/>
        </w:rPr>
        <w:t xml:space="preserve">GI </w:t>
      </w:r>
      <w:r w:rsidR="00EC4886">
        <w:rPr>
          <w:bCs/>
          <w:sz w:val="24"/>
          <w:szCs w:val="28"/>
          <w:lang w:val="en-US"/>
        </w:rPr>
        <w:t>symptoms and weight</w:t>
      </w:r>
      <w:r w:rsidRPr="002C52A3">
        <w:rPr>
          <w:bCs/>
          <w:sz w:val="24"/>
          <w:szCs w:val="28"/>
          <w:lang w:val="en-US"/>
        </w:rPr>
        <w:t>.</w:t>
      </w:r>
    </w:p>
    <w:p w14:paraId="33B46237" w14:textId="574DF231" w:rsidR="00540382" w:rsidRPr="00F90996" w:rsidRDefault="00540382" w:rsidP="00336A08">
      <w:pPr>
        <w:spacing w:after="0" w:line="240" w:lineRule="auto"/>
        <w:jc w:val="both"/>
        <w:rPr>
          <w:iCs/>
          <w:sz w:val="24"/>
          <w:szCs w:val="28"/>
        </w:rPr>
      </w:pPr>
    </w:p>
    <w:p w14:paraId="33AE2D8F" w14:textId="7F1BFD74" w:rsidR="00F90996" w:rsidRPr="00F90996" w:rsidRDefault="00F90996" w:rsidP="00336A08">
      <w:pPr>
        <w:spacing w:after="0" w:line="240" w:lineRule="auto"/>
        <w:jc w:val="both"/>
        <w:rPr>
          <w:b/>
          <w:bCs/>
          <w:iCs/>
          <w:sz w:val="28"/>
          <w:szCs w:val="28"/>
        </w:rPr>
      </w:pPr>
      <w:r w:rsidRPr="00F90996">
        <w:rPr>
          <w:b/>
          <w:bCs/>
          <w:iCs/>
          <w:sz w:val="28"/>
          <w:szCs w:val="28"/>
        </w:rPr>
        <w:t>Original manuscript citation in PubMed</w:t>
      </w:r>
    </w:p>
    <w:p w14:paraId="2208DBAD" w14:textId="27FFCB00" w:rsidR="00F90996" w:rsidRPr="00F90996" w:rsidRDefault="00F90996" w:rsidP="00336A08">
      <w:pPr>
        <w:spacing w:after="0" w:line="240" w:lineRule="auto"/>
        <w:jc w:val="both"/>
        <w:rPr>
          <w:iCs/>
          <w:sz w:val="24"/>
          <w:szCs w:val="28"/>
        </w:rPr>
      </w:pPr>
      <w:hyperlink r:id="rId7" w:history="1">
        <w:r w:rsidRPr="00F90996">
          <w:rPr>
            <w:rStyle w:val="Hyperlink"/>
            <w:iCs/>
            <w:sz w:val="24"/>
            <w:szCs w:val="28"/>
          </w:rPr>
          <w:t>https://pubmed.ncbi.nlm.nih.gov/40750484/</w:t>
        </w:r>
      </w:hyperlink>
    </w:p>
    <w:p w14:paraId="32120B9E" w14:textId="77777777" w:rsidR="00F90996" w:rsidRPr="00540382" w:rsidRDefault="00F90996" w:rsidP="00336A08">
      <w:pPr>
        <w:spacing w:after="0" w:line="240" w:lineRule="auto"/>
        <w:jc w:val="both"/>
        <w:rPr>
          <w:i/>
          <w:sz w:val="24"/>
          <w:szCs w:val="28"/>
        </w:rPr>
      </w:pPr>
    </w:p>
    <w:sectPr w:rsidR="00F90996" w:rsidRPr="00540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4A2F" w14:textId="77777777" w:rsidR="008A102D" w:rsidRDefault="008A102D" w:rsidP="008B1278">
      <w:pPr>
        <w:spacing w:after="0" w:line="240" w:lineRule="auto"/>
      </w:pPr>
      <w:r>
        <w:separator/>
      </w:r>
    </w:p>
  </w:endnote>
  <w:endnote w:type="continuationSeparator" w:id="0">
    <w:p w14:paraId="4EAB45DF" w14:textId="77777777" w:rsidR="008A102D" w:rsidRDefault="008A102D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87E2" w14:textId="77777777" w:rsidR="008B1278" w:rsidRDefault="008B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74F" w14:textId="77777777" w:rsidR="008B1278" w:rsidRDefault="008B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B68F" w14:textId="77777777" w:rsidR="008A102D" w:rsidRDefault="008A102D" w:rsidP="008B1278">
      <w:pPr>
        <w:spacing w:after="0" w:line="240" w:lineRule="auto"/>
      </w:pPr>
      <w:r>
        <w:separator/>
      </w:r>
    </w:p>
  </w:footnote>
  <w:footnote w:type="continuationSeparator" w:id="0">
    <w:p w14:paraId="082BDCCF" w14:textId="77777777" w:rsidR="008A102D" w:rsidRDefault="008A102D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8BA" w14:textId="77777777" w:rsidR="008B1278" w:rsidRDefault="008B1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eastAsia="en-AU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AU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1FB" w14:textId="77777777" w:rsidR="008B1278" w:rsidRDefault="008B1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291F"/>
    <w:multiLevelType w:val="multilevel"/>
    <w:tmpl w:val="25C8E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9497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163A2"/>
    <w:rsid w:val="000616FD"/>
    <w:rsid w:val="00156404"/>
    <w:rsid w:val="001C2158"/>
    <w:rsid w:val="001F4B08"/>
    <w:rsid w:val="00254B53"/>
    <w:rsid w:val="00257E89"/>
    <w:rsid w:val="00261A97"/>
    <w:rsid w:val="0027127E"/>
    <w:rsid w:val="002A2A19"/>
    <w:rsid w:val="002C52A3"/>
    <w:rsid w:val="002D50D3"/>
    <w:rsid w:val="002E420D"/>
    <w:rsid w:val="00320EE2"/>
    <w:rsid w:val="00336A08"/>
    <w:rsid w:val="003634D3"/>
    <w:rsid w:val="003E1221"/>
    <w:rsid w:val="003E732F"/>
    <w:rsid w:val="0049290B"/>
    <w:rsid w:val="004B0F28"/>
    <w:rsid w:val="004C64A3"/>
    <w:rsid w:val="00540382"/>
    <w:rsid w:val="005C0C4F"/>
    <w:rsid w:val="005C36D6"/>
    <w:rsid w:val="00620240"/>
    <w:rsid w:val="006A7976"/>
    <w:rsid w:val="006E0627"/>
    <w:rsid w:val="00717EB1"/>
    <w:rsid w:val="007629ED"/>
    <w:rsid w:val="007C34C3"/>
    <w:rsid w:val="0087152A"/>
    <w:rsid w:val="00877A54"/>
    <w:rsid w:val="00877B70"/>
    <w:rsid w:val="008A102D"/>
    <w:rsid w:val="008A27C0"/>
    <w:rsid w:val="008B1278"/>
    <w:rsid w:val="008B5598"/>
    <w:rsid w:val="009128F4"/>
    <w:rsid w:val="00915E47"/>
    <w:rsid w:val="0091703B"/>
    <w:rsid w:val="009346D3"/>
    <w:rsid w:val="0098362B"/>
    <w:rsid w:val="00A55CE8"/>
    <w:rsid w:val="00AA3361"/>
    <w:rsid w:val="00AB091E"/>
    <w:rsid w:val="00B2114D"/>
    <w:rsid w:val="00B32402"/>
    <w:rsid w:val="00BD2F4C"/>
    <w:rsid w:val="00C11B25"/>
    <w:rsid w:val="00C229B0"/>
    <w:rsid w:val="00C25544"/>
    <w:rsid w:val="00C34040"/>
    <w:rsid w:val="00CF30A7"/>
    <w:rsid w:val="00D065EC"/>
    <w:rsid w:val="00D12D7F"/>
    <w:rsid w:val="00D36FED"/>
    <w:rsid w:val="00E31C03"/>
    <w:rsid w:val="00E434C2"/>
    <w:rsid w:val="00EC4886"/>
    <w:rsid w:val="00EE7C42"/>
    <w:rsid w:val="00F83127"/>
    <w:rsid w:val="00F90996"/>
    <w:rsid w:val="00FE6B88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B0F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6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4A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40750484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2</TotalTime>
  <Pages>3</Pages>
  <Words>690</Words>
  <Characters>3670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CFRN</dc:creator>
  <cp:lastModifiedBy>KR</cp:lastModifiedBy>
  <cp:revision>2</cp:revision>
  <dcterms:created xsi:type="dcterms:W3CDTF">2025-10-26T07:09:00Z</dcterms:created>
  <dcterms:modified xsi:type="dcterms:W3CDTF">2025-10-26T07:09:00Z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2025-08-03T02:49:22Z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dbe057b0-4d56-4539-96a0-5547c0763a05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