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8874" w14:textId="4DD43355" w:rsidR="00044EC6" w:rsidRPr="00B40763" w:rsidRDefault="0098362B" w:rsidP="00044EC6">
      <w:pPr>
        <w:rPr>
          <w:b/>
          <w:bCs/>
          <w:sz w:val="28"/>
          <w:szCs w:val="28"/>
          <w:lang w:val="en-US"/>
        </w:rPr>
      </w:pPr>
      <w:r w:rsidRPr="00B40763">
        <w:rPr>
          <w:b/>
          <w:sz w:val="28"/>
          <w:szCs w:val="28"/>
        </w:rPr>
        <w:t>Title:</w:t>
      </w:r>
      <w:r w:rsidR="00044EC6" w:rsidRPr="00B40763">
        <w:rPr>
          <w:b/>
          <w:bCs/>
          <w:sz w:val="28"/>
          <w:szCs w:val="28"/>
          <w:lang w:val="en-US"/>
        </w:rPr>
        <w:t xml:space="preserve"> </w:t>
      </w:r>
      <w:r w:rsidR="00044EC6" w:rsidRPr="00F745FE">
        <w:rPr>
          <w:sz w:val="24"/>
          <w:szCs w:val="24"/>
          <w:lang w:val="en-US"/>
        </w:rPr>
        <w:t>Cystic Fibrosis Year in Review 2025</w:t>
      </w:r>
    </w:p>
    <w:p w14:paraId="4F29790B" w14:textId="77777777" w:rsidR="00044EC6" w:rsidRPr="00B40763" w:rsidRDefault="00044EC6" w:rsidP="00CD004D">
      <w:pPr>
        <w:spacing w:line="240" w:lineRule="auto"/>
        <w:rPr>
          <w:sz w:val="24"/>
          <w:szCs w:val="24"/>
          <w:vertAlign w:val="superscript"/>
          <w:lang w:val="es-ES"/>
        </w:rPr>
      </w:pPr>
      <w:r w:rsidRPr="00B40763">
        <w:rPr>
          <w:b/>
          <w:sz w:val="28"/>
          <w:szCs w:val="28"/>
        </w:rPr>
        <w:t>Authors:</w:t>
      </w:r>
      <w:r w:rsidRPr="00B40763">
        <w:rPr>
          <w:sz w:val="24"/>
          <w:szCs w:val="24"/>
          <w:lang w:val="es-ES"/>
        </w:rPr>
        <w:t xml:space="preserve"> Sophia T Pallenberg</w:t>
      </w:r>
      <w:r w:rsidRPr="00B40763">
        <w:rPr>
          <w:sz w:val="24"/>
          <w:szCs w:val="24"/>
          <w:vertAlign w:val="superscript"/>
          <w:lang w:val="es-ES"/>
        </w:rPr>
        <w:t>a*</w:t>
      </w:r>
      <w:r w:rsidRPr="00B40763">
        <w:rPr>
          <w:sz w:val="24"/>
          <w:szCs w:val="24"/>
          <w:lang w:val="es-ES"/>
        </w:rPr>
        <w:t>, Ester Zamarrón de Lucas</w:t>
      </w:r>
      <w:r w:rsidRPr="00B40763">
        <w:rPr>
          <w:sz w:val="24"/>
          <w:szCs w:val="24"/>
          <w:vertAlign w:val="superscript"/>
          <w:lang w:val="es-ES"/>
        </w:rPr>
        <w:t>b*</w:t>
      </w:r>
      <w:r w:rsidRPr="00B40763">
        <w:rPr>
          <w:sz w:val="24"/>
          <w:szCs w:val="24"/>
          <w:lang w:val="es-ES"/>
        </w:rPr>
        <w:t>, Andrea Párniczky</w:t>
      </w:r>
      <w:r w:rsidRPr="00B40763">
        <w:rPr>
          <w:sz w:val="24"/>
          <w:szCs w:val="24"/>
          <w:vertAlign w:val="superscript"/>
          <w:lang w:val="es-ES"/>
        </w:rPr>
        <w:t>c,d*</w:t>
      </w:r>
      <w:r w:rsidRPr="00B40763">
        <w:rPr>
          <w:sz w:val="24"/>
          <w:szCs w:val="24"/>
          <w:lang w:val="es-ES"/>
        </w:rPr>
        <w:t>, Raquel Lopes de Bragança</w:t>
      </w:r>
      <w:r w:rsidRPr="00B40763">
        <w:rPr>
          <w:sz w:val="24"/>
          <w:szCs w:val="24"/>
          <w:vertAlign w:val="superscript"/>
          <w:lang w:val="es-ES"/>
        </w:rPr>
        <w:t>e,f*</w:t>
      </w:r>
    </w:p>
    <w:p w14:paraId="05157D02" w14:textId="77777777" w:rsidR="00044EC6" w:rsidRPr="00B40763" w:rsidRDefault="00044EC6" w:rsidP="00CD004D">
      <w:pPr>
        <w:spacing w:line="240" w:lineRule="auto"/>
        <w:rPr>
          <w:sz w:val="24"/>
          <w:szCs w:val="24"/>
          <w:lang w:val="en-US"/>
        </w:rPr>
      </w:pPr>
      <w:proofErr w:type="spellStart"/>
      <w:r w:rsidRPr="00B40763">
        <w:rPr>
          <w:sz w:val="24"/>
          <w:szCs w:val="24"/>
          <w:vertAlign w:val="superscript"/>
          <w:lang w:val="en-US"/>
        </w:rPr>
        <w:t>a</w:t>
      </w:r>
      <w:r w:rsidRPr="00B40763">
        <w:rPr>
          <w:sz w:val="24"/>
          <w:szCs w:val="24"/>
          <w:lang w:val="en-US"/>
        </w:rPr>
        <w:t>Clinic</w:t>
      </w:r>
      <w:proofErr w:type="spellEnd"/>
      <w:r w:rsidRPr="00B40763">
        <w:rPr>
          <w:sz w:val="24"/>
          <w:szCs w:val="24"/>
          <w:lang w:val="en-US"/>
        </w:rPr>
        <w:t xml:space="preserve"> for Pediatric Pneumology, Allergology and Neonatology, Hannover Medical School, Hannover, Germany </w:t>
      </w:r>
    </w:p>
    <w:p w14:paraId="24695952" w14:textId="77777777" w:rsidR="00044EC6" w:rsidRPr="00B40763" w:rsidRDefault="00044EC6" w:rsidP="00CD004D">
      <w:pPr>
        <w:spacing w:line="240" w:lineRule="auto"/>
        <w:rPr>
          <w:sz w:val="24"/>
          <w:szCs w:val="24"/>
          <w:lang w:val="es-ES"/>
        </w:rPr>
      </w:pPr>
      <w:r w:rsidRPr="00B40763">
        <w:rPr>
          <w:sz w:val="24"/>
          <w:szCs w:val="24"/>
          <w:vertAlign w:val="superscript"/>
          <w:lang w:val="es-ES"/>
        </w:rPr>
        <w:t>b</w:t>
      </w:r>
      <w:r w:rsidRPr="00B40763">
        <w:rPr>
          <w:sz w:val="24"/>
          <w:szCs w:val="24"/>
          <w:lang w:val="es-ES"/>
        </w:rPr>
        <w:t>Pulmonary Department. Hospital Universitario La Paz. IdiPaz. Universidad Autónoma de Madrid. Madrid, Spain</w:t>
      </w:r>
    </w:p>
    <w:p w14:paraId="78945CFA" w14:textId="77777777" w:rsidR="00044EC6" w:rsidRPr="00B40763" w:rsidRDefault="00044EC6" w:rsidP="00CD004D">
      <w:pPr>
        <w:spacing w:line="240" w:lineRule="auto"/>
        <w:rPr>
          <w:sz w:val="24"/>
          <w:szCs w:val="24"/>
          <w:lang w:val="en-US"/>
        </w:rPr>
      </w:pPr>
      <w:proofErr w:type="spellStart"/>
      <w:r w:rsidRPr="00B40763">
        <w:rPr>
          <w:sz w:val="24"/>
          <w:szCs w:val="24"/>
          <w:vertAlign w:val="superscript"/>
          <w:lang w:val="en-US"/>
        </w:rPr>
        <w:t>c</w:t>
      </w:r>
      <w:r w:rsidRPr="00B40763">
        <w:rPr>
          <w:sz w:val="24"/>
          <w:szCs w:val="24"/>
          <w:lang w:val="en-US"/>
        </w:rPr>
        <w:t>Heim</w:t>
      </w:r>
      <w:proofErr w:type="spellEnd"/>
      <w:r w:rsidRPr="00B40763">
        <w:rPr>
          <w:sz w:val="24"/>
          <w:szCs w:val="24"/>
          <w:lang w:val="en-US"/>
        </w:rPr>
        <w:t xml:space="preserve"> Pál National Pediatric Institute, Budapest, Hungary</w:t>
      </w:r>
    </w:p>
    <w:p w14:paraId="6EBFD9E1" w14:textId="77777777" w:rsidR="00044EC6" w:rsidRPr="00B40763" w:rsidRDefault="00044EC6" w:rsidP="00CD004D">
      <w:pPr>
        <w:spacing w:line="240" w:lineRule="auto"/>
        <w:rPr>
          <w:sz w:val="24"/>
          <w:szCs w:val="24"/>
          <w:lang w:val="en-US"/>
        </w:rPr>
      </w:pPr>
      <w:proofErr w:type="spellStart"/>
      <w:r w:rsidRPr="00B40763">
        <w:rPr>
          <w:sz w:val="24"/>
          <w:szCs w:val="24"/>
          <w:vertAlign w:val="superscript"/>
          <w:lang w:val="en-US"/>
        </w:rPr>
        <w:t>d</w:t>
      </w:r>
      <w:r w:rsidRPr="00B40763">
        <w:rPr>
          <w:sz w:val="24"/>
          <w:szCs w:val="24"/>
          <w:lang w:val="en-US"/>
        </w:rPr>
        <w:t>Institute</w:t>
      </w:r>
      <w:proofErr w:type="spellEnd"/>
      <w:r w:rsidRPr="00B40763">
        <w:rPr>
          <w:sz w:val="24"/>
          <w:szCs w:val="24"/>
          <w:lang w:val="en-US"/>
        </w:rPr>
        <w:t xml:space="preserve"> for Translational Medicine, Medical School, University of Pécs, Pécs, Hungary</w:t>
      </w:r>
    </w:p>
    <w:p w14:paraId="51167EB4" w14:textId="77777777" w:rsidR="00044EC6" w:rsidRPr="00B40763" w:rsidRDefault="00044EC6" w:rsidP="00CD004D">
      <w:pPr>
        <w:spacing w:line="240" w:lineRule="auto"/>
        <w:rPr>
          <w:sz w:val="24"/>
          <w:szCs w:val="24"/>
          <w:lang w:val="es-ES"/>
        </w:rPr>
      </w:pPr>
      <w:r w:rsidRPr="00B40763">
        <w:rPr>
          <w:sz w:val="24"/>
          <w:szCs w:val="24"/>
          <w:vertAlign w:val="superscript"/>
          <w:lang w:val="es-ES"/>
        </w:rPr>
        <w:t>e</w:t>
      </w:r>
      <w:r w:rsidRPr="00B40763">
        <w:rPr>
          <w:sz w:val="24"/>
          <w:szCs w:val="24"/>
          <w:lang w:val="es-ES"/>
        </w:rPr>
        <w:t>Pediatric Pneumology Unit, Hospital Dona Estefânia, Unidade Local de Saúde de São José, Lisboa, Portugal</w:t>
      </w:r>
    </w:p>
    <w:p w14:paraId="6707A3DE" w14:textId="77777777" w:rsidR="00044EC6" w:rsidRPr="00B40763" w:rsidRDefault="00044EC6" w:rsidP="00CD004D">
      <w:pPr>
        <w:spacing w:line="240" w:lineRule="auto"/>
        <w:rPr>
          <w:sz w:val="24"/>
          <w:szCs w:val="24"/>
          <w:lang w:val="es-ES"/>
        </w:rPr>
      </w:pPr>
      <w:r w:rsidRPr="00B40763">
        <w:rPr>
          <w:sz w:val="24"/>
          <w:szCs w:val="24"/>
          <w:vertAlign w:val="superscript"/>
          <w:lang w:val="es-ES"/>
        </w:rPr>
        <w:t>f</w:t>
      </w:r>
      <w:r w:rsidRPr="00B40763">
        <w:rPr>
          <w:sz w:val="24"/>
          <w:szCs w:val="24"/>
          <w:lang w:val="es-ES"/>
        </w:rPr>
        <w:t xml:space="preserve">NOVA Medical School, </w:t>
      </w:r>
      <w:proofErr w:type="spellStart"/>
      <w:r w:rsidRPr="00B40763">
        <w:rPr>
          <w:sz w:val="24"/>
          <w:szCs w:val="24"/>
          <w:lang w:val="fr-FR"/>
        </w:rPr>
        <w:t>Faculdade</w:t>
      </w:r>
      <w:proofErr w:type="spellEnd"/>
      <w:r w:rsidRPr="00B40763">
        <w:rPr>
          <w:sz w:val="24"/>
          <w:szCs w:val="24"/>
          <w:lang w:val="fr-FR"/>
        </w:rPr>
        <w:t xml:space="preserve"> de </w:t>
      </w:r>
      <w:proofErr w:type="spellStart"/>
      <w:r w:rsidRPr="00B40763">
        <w:rPr>
          <w:sz w:val="24"/>
          <w:szCs w:val="24"/>
          <w:lang w:val="fr-FR"/>
        </w:rPr>
        <w:t>Ciências</w:t>
      </w:r>
      <w:proofErr w:type="spellEnd"/>
      <w:r w:rsidRPr="00B40763">
        <w:rPr>
          <w:sz w:val="24"/>
          <w:szCs w:val="24"/>
          <w:lang w:val="fr-FR"/>
        </w:rPr>
        <w:t xml:space="preserve"> </w:t>
      </w:r>
      <w:proofErr w:type="spellStart"/>
      <w:r w:rsidRPr="00B40763">
        <w:rPr>
          <w:sz w:val="24"/>
          <w:szCs w:val="24"/>
          <w:lang w:val="fr-FR"/>
        </w:rPr>
        <w:t>Médicas</w:t>
      </w:r>
      <w:proofErr w:type="spellEnd"/>
      <w:r w:rsidRPr="00B40763">
        <w:rPr>
          <w:sz w:val="24"/>
          <w:szCs w:val="24"/>
          <w:lang w:val="fr-FR"/>
        </w:rPr>
        <w:t xml:space="preserve">, NMS, FCM, </w:t>
      </w:r>
      <w:proofErr w:type="spellStart"/>
      <w:r w:rsidRPr="00B40763">
        <w:rPr>
          <w:sz w:val="24"/>
          <w:szCs w:val="24"/>
          <w:lang w:val="fr-FR"/>
        </w:rPr>
        <w:t>Universidade</w:t>
      </w:r>
      <w:proofErr w:type="spellEnd"/>
      <w:r w:rsidRPr="00B40763">
        <w:rPr>
          <w:sz w:val="24"/>
          <w:szCs w:val="24"/>
          <w:lang w:val="fr-FR"/>
        </w:rPr>
        <w:t xml:space="preserve"> NOVA de Lisboa, Lisboa, Portugal</w:t>
      </w:r>
    </w:p>
    <w:p w14:paraId="61C014D1" w14:textId="6C69390C" w:rsidR="00044EC6" w:rsidRPr="00B40763" w:rsidRDefault="00044EC6" w:rsidP="00044EC6">
      <w:pPr>
        <w:rPr>
          <w:sz w:val="24"/>
          <w:szCs w:val="24"/>
          <w:lang w:val="en-US"/>
        </w:rPr>
      </w:pPr>
      <w:r w:rsidRPr="00B40763">
        <w:rPr>
          <w:sz w:val="24"/>
          <w:szCs w:val="24"/>
          <w:vertAlign w:val="superscript"/>
          <w:lang w:val="en-US"/>
        </w:rPr>
        <w:t>*</w:t>
      </w:r>
      <w:r w:rsidRPr="00B40763">
        <w:rPr>
          <w:sz w:val="24"/>
          <w:szCs w:val="24"/>
          <w:lang w:val="en-US"/>
        </w:rPr>
        <w:t xml:space="preserve">All authors contributed equally to this review. </w:t>
      </w:r>
    </w:p>
    <w:p w14:paraId="0CDBA3FC" w14:textId="42DDCFD2" w:rsidR="00044EC6" w:rsidRPr="00B40763" w:rsidRDefault="00044EC6" w:rsidP="00044EC6">
      <w:pPr>
        <w:jc w:val="both"/>
        <w:rPr>
          <w:sz w:val="24"/>
          <w:szCs w:val="24"/>
          <w:lang w:val="en-US"/>
        </w:rPr>
      </w:pPr>
      <w:r w:rsidRPr="00B40763">
        <w:rPr>
          <w:color w:val="0A0A0A"/>
          <w:sz w:val="24"/>
          <w:szCs w:val="24"/>
          <w:shd w:val="clear" w:color="auto" w:fill="FFFFFF"/>
        </w:rPr>
        <w:t xml:space="preserve">This review of the 2025 literature summarizes how </w:t>
      </w:r>
      <w:r w:rsidRPr="00B40763">
        <w:rPr>
          <w:sz w:val="24"/>
          <w:szCs w:val="24"/>
          <w:lang w:val="en-US"/>
        </w:rPr>
        <w:t xml:space="preserve">Cystic fibrosis (CF) has changed dramatically in recent years. Highly effective CFTR modulator therapies—especially the triple combination </w:t>
      </w:r>
      <w:proofErr w:type="spellStart"/>
      <w:r w:rsidRPr="00B40763">
        <w:rPr>
          <w:sz w:val="24"/>
          <w:szCs w:val="24"/>
          <w:lang w:val="en-US"/>
        </w:rPr>
        <w:t>elexacaftor</w:t>
      </w:r>
      <w:proofErr w:type="spellEnd"/>
      <w:r w:rsidRPr="00B40763">
        <w:rPr>
          <w:sz w:val="24"/>
          <w:szCs w:val="24"/>
          <w:lang w:val="en-US"/>
        </w:rPr>
        <w:t>/</w:t>
      </w:r>
      <w:proofErr w:type="spellStart"/>
      <w:r w:rsidRPr="00B40763">
        <w:rPr>
          <w:sz w:val="24"/>
          <w:szCs w:val="24"/>
          <w:lang w:val="en-US"/>
        </w:rPr>
        <w:t>tezacaftor</w:t>
      </w:r>
      <w:proofErr w:type="spellEnd"/>
      <w:r w:rsidRPr="00B40763">
        <w:rPr>
          <w:sz w:val="24"/>
          <w:szCs w:val="24"/>
          <w:lang w:val="en-US"/>
        </w:rPr>
        <w:t xml:space="preserve">/ivacaftor (often called ETI or </w:t>
      </w:r>
      <w:proofErr w:type="spellStart"/>
      <w:r w:rsidRPr="00B40763">
        <w:rPr>
          <w:sz w:val="24"/>
          <w:szCs w:val="24"/>
          <w:lang w:val="en-US"/>
        </w:rPr>
        <w:t>Trikafta</w:t>
      </w:r>
      <w:proofErr w:type="spellEnd"/>
      <w:r w:rsidRPr="00B40763">
        <w:rPr>
          <w:sz w:val="24"/>
          <w:szCs w:val="24"/>
          <w:lang w:val="en-US"/>
        </w:rPr>
        <w:t>/</w:t>
      </w:r>
      <w:proofErr w:type="spellStart"/>
      <w:r w:rsidRPr="00B40763">
        <w:rPr>
          <w:sz w:val="24"/>
          <w:szCs w:val="24"/>
          <w:lang w:val="en-US"/>
        </w:rPr>
        <w:t>Kaftrio</w:t>
      </w:r>
      <w:proofErr w:type="spellEnd"/>
      <w:r w:rsidRPr="00B40763">
        <w:rPr>
          <w:sz w:val="24"/>
          <w:szCs w:val="24"/>
          <w:lang w:val="en-US"/>
        </w:rPr>
        <w:t>)—treat the basic protein defect that causes CF. For many people, these medicines have led to major improvements in lung function, fewer infections, better nutrition, and longer life expectancy. In fact, survival predictions have increased sharply since ETI became available in 2019.</w:t>
      </w:r>
    </w:p>
    <w:p w14:paraId="612EA5DB" w14:textId="77777777" w:rsidR="00044EC6" w:rsidRPr="00B40763" w:rsidRDefault="00044EC6" w:rsidP="00044EC6">
      <w:pPr>
        <w:jc w:val="both"/>
        <w:rPr>
          <w:sz w:val="24"/>
          <w:szCs w:val="24"/>
          <w:lang w:val="en-US"/>
        </w:rPr>
      </w:pPr>
      <w:r w:rsidRPr="00B40763">
        <w:rPr>
          <w:sz w:val="24"/>
          <w:szCs w:val="24"/>
          <w:lang w:val="en-US"/>
        </w:rPr>
        <w:t>However, CF has not been cured. Our 2025 review shows that CF is evolving into a chronic and increasingly diverse condition. While many people do very well on modulators, others still face challenges. Some individuals are not eligible for these drugs—particularly those with rare “Class I” mutations, in which no CFTR protein is produced. In addition, people who already have advanced lung damage may not regain full lung function and access to these medications also remains unequal worldwide.</w:t>
      </w:r>
    </w:p>
    <w:p w14:paraId="559D9BF2" w14:textId="77777777" w:rsidR="00044EC6" w:rsidRPr="00B40763" w:rsidRDefault="00044EC6" w:rsidP="00044EC6">
      <w:pPr>
        <w:jc w:val="both"/>
        <w:rPr>
          <w:sz w:val="24"/>
          <w:szCs w:val="24"/>
          <w:lang w:val="en-US"/>
        </w:rPr>
      </w:pPr>
      <w:r w:rsidRPr="00B40763">
        <w:rPr>
          <w:sz w:val="24"/>
          <w:szCs w:val="24"/>
          <w:lang w:val="en-US"/>
        </w:rPr>
        <w:lastRenderedPageBreak/>
        <w:t xml:space="preserve">Researchers are therefore exploring new treatments that could help everyone with CF, regardless of their genetic mutation. Some approaches center on improving salt and water balance in the airways by blocking a channel called ENaC, which may improve mucus clearance and immune defense. Others focus on calming harmful inflammation. For example, a drug called </w:t>
      </w:r>
      <w:proofErr w:type="spellStart"/>
      <w:r w:rsidRPr="00B40763">
        <w:rPr>
          <w:sz w:val="24"/>
          <w:szCs w:val="24"/>
          <w:lang w:val="en-US"/>
        </w:rPr>
        <w:t>brensocatib</w:t>
      </w:r>
      <w:proofErr w:type="spellEnd"/>
      <w:r w:rsidRPr="00B40763">
        <w:rPr>
          <w:sz w:val="24"/>
          <w:szCs w:val="24"/>
          <w:lang w:val="en-US"/>
        </w:rPr>
        <w:t xml:space="preserve"> aims to reduce damage caused by overactive white blood cells in the lungs, the neutrophils. Early studies suggest it is safe in adults with CF and may reduce inflammation. Gene and RNA-based therapies—designed to repair or replace the faulty CF gene—are also advancing in laboratory and early-stage research, though they are not yet available in routine care.</w:t>
      </w:r>
    </w:p>
    <w:p w14:paraId="1A748781" w14:textId="77777777" w:rsidR="00044EC6" w:rsidRPr="00B40763" w:rsidRDefault="00044EC6" w:rsidP="00044EC6">
      <w:pPr>
        <w:jc w:val="both"/>
        <w:rPr>
          <w:sz w:val="24"/>
          <w:szCs w:val="24"/>
          <w:lang w:val="en-US"/>
        </w:rPr>
      </w:pPr>
      <w:r w:rsidRPr="00B40763">
        <w:rPr>
          <w:sz w:val="24"/>
          <w:szCs w:val="24"/>
          <w:lang w:val="en-US"/>
        </w:rPr>
        <w:t>Lung infections have also changed but not disappeared in the modulator era. Many people have fewer detectable bacteria after starting ETI. Still, long-standing infections, especially with Pseudomonas aeruginosa, often persist. Inflammation in the lungs also decreases with treatment but does not completely disappear. Scientists are investigating new strategies such as bacteriophage therapy, which uses viruses to target specific infectious bacteria. Efforts to change the lung or gut microbiome with targeted antibiotics or probiotics have so far shown limited clinical benefit.</w:t>
      </w:r>
    </w:p>
    <w:p w14:paraId="037F2B9F" w14:textId="77777777" w:rsidR="00044EC6" w:rsidRPr="00B40763" w:rsidRDefault="00044EC6" w:rsidP="00044EC6">
      <w:pPr>
        <w:jc w:val="both"/>
        <w:rPr>
          <w:sz w:val="24"/>
          <w:szCs w:val="24"/>
          <w:lang w:val="en-US"/>
        </w:rPr>
      </w:pPr>
      <w:r w:rsidRPr="00B40763">
        <w:rPr>
          <w:sz w:val="24"/>
          <w:szCs w:val="24"/>
          <w:lang w:val="en-US"/>
        </w:rPr>
        <w:t>As people with CF live longer, new health issues are becoming more important. Research in 2025 highlights increasing attention to pregnancy, aging, and long-term complications such as diabetes, liver disease, cardiovascular disease, and certain cancers. Encouragingly, early data suggest that ETI is generally well tolerated during pregnancy. Also, it may reduce some CF co-morbidities, such as severe liver disease, while others —like CF-related diabetes—often persist.</w:t>
      </w:r>
    </w:p>
    <w:p w14:paraId="40B91860" w14:textId="77777777" w:rsidR="00044EC6" w:rsidRDefault="00044EC6" w:rsidP="00044EC6">
      <w:pPr>
        <w:jc w:val="both"/>
        <w:rPr>
          <w:sz w:val="24"/>
          <w:szCs w:val="24"/>
          <w:lang w:val="en-US"/>
        </w:rPr>
      </w:pPr>
      <w:r w:rsidRPr="00B40763">
        <w:rPr>
          <w:sz w:val="24"/>
          <w:szCs w:val="24"/>
          <w:lang w:val="en-US"/>
        </w:rPr>
        <w:t>Overall, CF is shifting from a life-shortening childhood disease to a lifelong, multi-system condition. The focus of care is expanding beyond lung health to include aging, mental health, treatment burden and quality of life. Future priorities include ensuring global access to effective therapies, developing treatments for those not helped by current modulators, and creating care models that support healthy aging for the growing and increasingly diverse CF community.</w:t>
      </w:r>
    </w:p>
    <w:p w14:paraId="4CFCB963" w14:textId="271ECF7B" w:rsidR="00847D66" w:rsidRPr="00CD004D" w:rsidRDefault="00847D66" w:rsidP="00CD004D">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33B46237" w14:textId="3397B3EE" w:rsidR="00540382" w:rsidRPr="00CD004D" w:rsidRDefault="00994EE9" w:rsidP="00540382">
      <w:pPr>
        <w:jc w:val="both"/>
        <w:rPr>
          <w:sz w:val="24"/>
          <w:szCs w:val="24"/>
          <w:lang w:val="en-US"/>
        </w:rPr>
      </w:pPr>
      <w:hyperlink r:id="rId9" w:history="1">
        <w:r w:rsidRPr="00A37539">
          <w:rPr>
            <w:rStyle w:val="Hyperlink"/>
            <w:sz w:val="24"/>
            <w:szCs w:val="24"/>
            <w:lang w:val="en-US"/>
          </w:rPr>
          <w:t>https://pubmed.ncbi.nlm.nih.gov/41781219</w:t>
        </w:r>
        <w:r w:rsidRPr="00A37539">
          <w:rPr>
            <w:rStyle w:val="Hyperlink"/>
            <w:sz w:val="24"/>
            <w:szCs w:val="24"/>
            <w:lang w:val="en-US"/>
          </w:rPr>
          <w:t>/</w:t>
        </w:r>
      </w:hyperlink>
    </w:p>
    <w:sectPr w:rsidR="00540382" w:rsidRPr="00CD00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CE1B" w14:textId="77777777" w:rsidR="00571AFB" w:rsidRDefault="00571AFB" w:rsidP="008B1278">
      <w:pPr>
        <w:spacing w:after="0" w:line="240" w:lineRule="auto"/>
      </w:pPr>
      <w:r>
        <w:separator/>
      </w:r>
    </w:p>
  </w:endnote>
  <w:endnote w:type="continuationSeparator" w:id="0">
    <w:p w14:paraId="4CCEF80D" w14:textId="77777777" w:rsidR="00571AFB" w:rsidRDefault="00571AFB"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F02F" w14:textId="77777777" w:rsidR="00571AFB" w:rsidRDefault="00571AFB" w:rsidP="008B1278">
      <w:pPr>
        <w:spacing w:after="0" w:line="240" w:lineRule="auto"/>
      </w:pPr>
      <w:r>
        <w:separator/>
      </w:r>
    </w:p>
  </w:footnote>
  <w:footnote w:type="continuationSeparator" w:id="0">
    <w:p w14:paraId="1A110058" w14:textId="77777777" w:rsidR="00571AFB" w:rsidRDefault="00571AFB"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44EC6"/>
    <w:rsid w:val="00156404"/>
    <w:rsid w:val="00257E89"/>
    <w:rsid w:val="0049290B"/>
    <w:rsid w:val="00540382"/>
    <w:rsid w:val="00571AFB"/>
    <w:rsid w:val="005E0F02"/>
    <w:rsid w:val="006A7976"/>
    <w:rsid w:val="00717EB1"/>
    <w:rsid w:val="007C34C3"/>
    <w:rsid w:val="00847D66"/>
    <w:rsid w:val="008A74B9"/>
    <w:rsid w:val="008B1278"/>
    <w:rsid w:val="0098362B"/>
    <w:rsid w:val="00994EE9"/>
    <w:rsid w:val="009B2A3C"/>
    <w:rsid w:val="00AC327A"/>
    <w:rsid w:val="00B40763"/>
    <w:rsid w:val="00CD004D"/>
    <w:rsid w:val="00CF30A7"/>
    <w:rsid w:val="00D36FED"/>
    <w:rsid w:val="00F74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994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78121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605B6EF7-9A52-485C-A14D-5264B0B0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5</TotalTime>
  <Pages>2</Pages>
  <Words>647</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2026-02-25T21:20:00Z</dcterms:created>
  <dcterms:modified xsi:type="dcterms:W3CDTF">2026-04-03T19:54:00Z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