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97A6" w14:textId="1337BE17" w:rsidR="00042247" w:rsidRPr="004B47AD" w:rsidRDefault="0098362B" w:rsidP="004B47A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B47AD">
        <w:rPr>
          <w:rFonts w:cstheme="minorHAnsi"/>
          <w:b/>
          <w:sz w:val="28"/>
          <w:szCs w:val="28"/>
        </w:rPr>
        <w:t>Title:</w:t>
      </w:r>
      <w:r w:rsidR="0004106F" w:rsidRPr="004B47AD">
        <w:rPr>
          <w:rFonts w:cstheme="minorHAnsi"/>
          <w:b/>
          <w:sz w:val="24"/>
          <w:szCs w:val="24"/>
        </w:rPr>
        <w:t xml:space="preserve"> </w:t>
      </w:r>
      <w:r w:rsidR="0004106F" w:rsidRPr="004B47AD">
        <w:rPr>
          <w:rFonts w:cstheme="minorHAnsi"/>
          <w:bCs/>
          <w:sz w:val="24"/>
          <w:szCs w:val="24"/>
        </w:rPr>
        <w:t>Common inflammatory markers predict risk of ABPA development in children with cystic fibrosis</w:t>
      </w:r>
    </w:p>
    <w:p w14:paraId="242577E5" w14:textId="4C755EC3" w:rsidR="006A7976" w:rsidRPr="004B47AD" w:rsidRDefault="006A7976" w:rsidP="004B47A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DC13F1F" w14:textId="15187966" w:rsidR="006A7976" w:rsidRPr="004B47AD" w:rsidRDefault="006A7976" w:rsidP="004B47A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B47AD">
        <w:rPr>
          <w:rFonts w:cstheme="minorHAnsi"/>
          <w:b/>
          <w:sz w:val="28"/>
          <w:szCs w:val="28"/>
        </w:rPr>
        <w:t>Lay Title:</w:t>
      </w:r>
      <w:r w:rsidR="0004106F" w:rsidRPr="004B47AD">
        <w:rPr>
          <w:rFonts w:cstheme="minorHAnsi"/>
          <w:b/>
          <w:sz w:val="24"/>
          <w:szCs w:val="24"/>
        </w:rPr>
        <w:t xml:space="preserve"> </w:t>
      </w:r>
      <w:r w:rsidR="00882769" w:rsidRPr="004B47AD">
        <w:rPr>
          <w:rFonts w:cstheme="minorHAnsi"/>
          <w:bCs/>
          <w:sz w:val="24"/>
          <w:szCs w:val="24"/>
        </w:rPr>
        <w:t xml:space="preserve">Using routine blood tests to predict </w:t>
      </w:r>
      <w:r w:rsidR="003728E8" w:rsidRPr="004B47AD">
        <w:rPr>
          <w:rFonts w:cstheme="minorHAnsi"/>
          <w:bCs/>
          <w:sz w:val="24"/>
          <w:szCs w:val="24"/>
        </w:rPr>
        <w:t>the risk of ABPA in</w:t>
      </w:r>
      <w:r w:rsidR="00882769" w:rsidRPr="004B47AD">
        <w:rPr>
          <w:rFonts w:cstheme="minorHAnsi"/>
          <w:bCs/>
          <w:sz w:val="24"/>
          <w:szCs w:val="24"/>
        </w:rPr>
        <w:t xml:space="preserve"> children with cystic fibrosis </w:t>
      </w:r>
    </w:p>
    <w:p w14:paraId="2C518F27" w14:textId="77777777" w:rsidR="0098362B" w:rsidRPr="004B47AD" w:rsidRDefault="0098362B" w:rsidP="004B47A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698E0AB" w14:textId="3E07F601" w:rsidR="0098362B" w:rsidRPr="004B47AD" w:rsidRDefault="0098362B" w:rsidP="004B47AD">
      <w:pPr>
        <w:spacing w:line="240" w:lineRule="auto"/>
        <w:jc w:val="both"/>
        <w:rPr>
          <w:rFonts w:cstheme="minorHAnsi"/>
          <w:sz w:val="24"/>
          <w:szCs w:val="24"/>
          <w:vertAlign w:val="superscript"/>
        </w:rPr>
      </w:pPr>
      <w:r w:rsidRPr="004B47AD">
        <w:rPr>
          <w:rFonts w:cstheme="minorHAnsi"/>
          <w:b/>
          <w:sz w:val="28"/>
          <w:szCs w:val="28"/>
        </w:rPr>
        <w:t>Authors:</w:t>
      </w:r>
      <w:r w:rsidR="003728E8" w:rsidRPr="004B47AD">
        <w:rPr>
          <w:rFonts w:cstheme="minorHAnsi"/>
          <w:b/>
          <w:sz w:val="24"/>
          <w:szCs w:val="24"/>
        </w:rPr>
        <w:t xml:space="preserve"> </w:t>
      </w:r>
      <w:r w:rsidR="00CD2D2F" w:rsidRPr="004B47AD">
        <w:rPr>
          <w:rFonts w:cstheme="minorHAnsi"/>
          <w:sz w:val="24"/>
          <w:szCs w:val="24"/>
        </w:rPr>
        <w:t>Harriet E.D. Crabtree</w:t>
      </w:r>
      <w:r w:rsidR="00CD2D2F" w:rsidRPr="004B47AD">
        <w:rPr>
          <w:rFonts w:cstheme="minorHAnsi"/>
          <w:sz w:val="24"/>
          <w:szCs w:val="24"/>
          <w:vertAlign w:val="superscript"/>
        </w:rPr>
        <w:t>1</w:t>
      </w:r>
      <w:r w:rsidR="00CD2D2F" w:rsidRPr="004B47AD">
        <w:rPr>
          <w:rFonts w:cstheme="minorHAnsi"/>
          <w:sz w:val="24"/>
          <w:szCs w:val="24"/>
          <w:vertAlign w:val="superscript"/>
          <w:lang w:val="en-GB"/>
        </w:rPr>
        <w:t xml:space="preserve"> †</w:t>
      </w:r>
      <w:r w:rsidR="00CD2D2F" w:rsidRPr="004B47AD">
        <w:rPr>
          <w:rFonts w:cstheme="minorHAnsi"/>
          <w:sz w:val="24"/>
          <w:szCs w:val="24"/>
        </w:rPr>
        <w:t>, Chris J. Malajczuk</w:t>
      </w:r>
      <w:r w:rsidR="00CD2D2F" w:rsidRPr="004B47AD">
        <w:rPr>
          <w:rFonts w:cstheme="minorHAnsi"/>
          <w:sz w:val="24"/>
          <w:szCs w:val="24"/>
          <w:vertAlign w:val="superscript"/>
        </w:rPr>
        <w:t xml:space="preserve">2, 3 </w:t>
      </w:r>
      <w:r w:rsidR="00CD2D2F" w:rsidRPr="004B47AD">
        <w:rPr>
          <w:rFonts w:cstheme="minorHAnsi"/>
          <w:sz w:val="24"/>
          <w:szCs w:val="24"/>
          <w:vertAlign w:val="superscript"/>
          <w:lang w:val="en-GB"/>
        </w:rPr>
        <w:t>†</w:t>
      </w:r>
      <w:r w:rsidR="00CD2D2F" w:rsidRPr="004B47AD">
        <w:rPr>
          <w:rFonts w:cstheme="minorHAnsi"/>
          <w:sz w:val="24"/>
          <w:szCs w:val="24"/>
        </w:rPr>
        <w:t>, Ho Yin Ho</w:t>
      </w:r>
      <w:r w:rsidR="00CD2D2F" w:rsidRPr="004B47AD">
        <w:rPr>
          <w:rFonts w:cstheme="minorHAnsi"/>
          <w:sz w:val="24"/>
          <w:szCs w:val="24"/>
          <w:vertAlign w:val="superscript"/>
        </w:rPr>
        <w:t>2</w:t>
      </w:r>
      <w:r w:rsidR="00CD2D2F" w:rsidRPr="004B47AD">
        <w:rPr>
          <w:rFonts w:cstheme="minorHAnsi"/>
          <w:sz w:val="24"/>
          <w:szCs w:val="24"/>
        </w:rPr>
        <w:t>, Phillipa M. Edmiston</w:t>
      </w:r>
      <w:r w:rsidR="00CD2D2F" w:rsidRPr="004B47AD">
        <w:rPr>
          <w:rFonts w:cstheme="minorHAnsi"/>
          <w:sz w:val="24"/>
          <w:szCs w:val="24"/>
          <w:vertAlign w:val="superscript"/>
        </w:rPr>
        <w:t>4</w:t>
      </w:r>
      <w:r w:rsidR="00CD2D2F" w:rsidRPr="004B47AD">
        <w:rPr>
          <w:rFonts w:cstheme="minorHAnsi"/>
          <w:sz w:val="24"/>
          <w:szCs w:val="24"/>
        </w:rPr>
        <w:t>, Daniel K. Yeoh</w:t>
      </w:r>
      <w:r w:rsidR="00CD2D2F" w:rsidRPr="004B47AD">
        <w:rPr>
          <w:rFonts w:cstheme="minorHAnsi"/>
          <w:sz w:val="24"/>
          <w:szCs w:val="24"/>
          <w:vertAlign w:val="superscript"/>
        </w:rPr>
        <w:t>4,5</w:t>
      </w:r>
      <w:r w:rsidR="00CD2D2F" w:rsidRPr="004B47AD">
        <w:rPr>
          <w:rFonts w:cstheme="minorHAnsi"/>
          <w:sz w:val="24"/>
          <w:szCs w:val="24"/>
        </w:rPr>
        <w:t>, Andrew C. Wilson</w:t>
      </w:r>
      <w:r w:rsidR="00CD2D2F" w:rsidRPr="004B47AD">
        <w:rPr>
          <w:rFonts w:cstheme="minorHAnsi"/>
          <w:sz w:val="24"/>
          <w:szCs w:val="24"/>
          <w:vertAlign w:val="superscript"/>
        </w:rPr>
        <w:t>1,2</w:t>
      </w:r>
      <w:r w:rsidR="00CD2D2F" w:rsidRPr="004B47AD">
        <w:rPr>
          <w:rFonts w:cstheme="minorHAnsi"/>
          <w:sz w:val="24"/>
          <w:szCs w:val="24"/>
        </w:rPr>
        <w:t>, Yuliya V. Karpievitch</w:t>
      </w:r>
      <w:r w:rsidR="00CD2D2F" w:rsidRPr="004B47AD">
        <w:rPr>
          <w:rFonts w:cstheme="minorHAnsi"/>
          <w:sz w:val="24"/>
          <w:szCs w:val="24"/>
          <w:vertAlign w:val="superscript"/>
        </w:rPr>
        <w:t xml:space="preserve">2,6,7* </w:t>
      </w:r>
      <w:r w:rsidR="00CD2D2F" w:rsidRPr="004B47AD">
        <w:rPr>
          <w:rFonts w:cstheme="minorHAnsi"/>
          <w:sz w:val="24"/>
          <w:szCs w:val="24"/>
        </w:rPr>
        <w:t>, André Schultz</w:t>
      </w:r>
      <w:r w:rsidR="00CD2D2F" w:rsidRPr="004B47AD">
        <w:rPr>
          <w:rFonts w:cstheme="minorHAnsi"/>
          <w:sz w:val="24"/>
          <w:szCs w:val="24"/>
          <w:vertAlign w:val="superscript"/>
        </w:rPr>
        <w:t>1,2,8*</w:t>
      </w:r>
    </w:p>
    <w:p w14:paraId="2FF4FD78" w14:textId="77777777" w:rsidR="002A6F21" w:rsidRPr="004B47AD" w:rsidRDefault="0098362B" w:rsidP="004B47AD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4B47AD">
        <w:rPr>
          <w:rFonts w:cstheme="minorHAnsi"/>
          <w:b/>
          <w:sz w:val="28"/>
          <w:szCs w:val="28"/>
        </w:rPr>
        <w:t>Affiliations:</w:t>
      </w:r>
      <w:r w:rsidR="002A6F21" w:rsidRPr="004B47AD">
        <w:rPr>
          <w:rFonts w:cstheme="minorHAnsi"/>
          <w:b/>
          <w:sz w:val="28"/>
          <w:szCs w:val="28"/>
        </w:rPr>
        <w:t xml:space="preserve"> </w:t>
      </w:r>
    </w:p>
    <w:p w14:paraId="4F03B63D" w14:textId="5A5953E9" w:rsidR="002A6F21" w:rsidRPr="004B47AD" w:rsidRDefault="002A6F21" w:rsidP="004B47AD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B47AD">
        <w:rPr>
          <w:rFonts w:cstheme="minorHAnsi"/>
          <w:sz w:val="24"/>
          <w:szCs w:val="24"/>
          <w:vertAlign w:val="superscript"/>
        </w:rPr>
        <w:t>1</w:t>
      </w:r>
      <w:r w:rsidRPr="004B47AD">
        <w:rPr>
          <w:rFonts w:cstheme="minorHAnsi"/>
          <w:sz w:val="24"/>
          <w:szCs w:val="24"/>
        </w:rPr>
        <w:t>Department of Respiratory and Sleep Medicine, Perth Children’s Hospital, Perth, Australia.</w:t>
      </w:r>
    </w:p>
    <w:p w14:paraId="5C73218B" w14:textId="77777777" w:rsidR="002A6F21" w:rsidRPr="004B47AD" w:rsidRDefault="002A6F21" w:rsidP="004B47AD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B47AD">
        <w:rPr>
          <w:rFonts w:cstheme="minorHAnsi"/>
          <w:sz w:val="24"/>
          <w:szCs w:val="24"/>
          <w:vertAlign w:val="superscript"/>
        </w:rPr>
        <w:t>2</w:t>
      </w:r>
      <w:r w:rsidRPr="004B47AD">
        <w:rPr>
          <w:rFonts w:cstheme="minorHAnsi"/>
          <w:sz w:val="24"/>
          <w:szCs w:val="24"/>
        </w:rPr>
        <w:t>Wal-yan Respiratory Research Centre, The Kids Research Institute Australia, Perth, Australia.</w:t>
      </w:r>
    </w:p>
    <w:p w14:paraId="47DAB41A" w14:textId="77777777" w:rsidR="002A6F21" w:rsidRPr="004B47AD" w:rsidRDefault="002A6F21" w:rsidP="004B47AD">
      <w:pPr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4B47AD">
        <w:rPr>
          <w:rFonts w:cstheme="minorHAnsi"/>
          <w:color w:val="000000" w:themeColor="text1"/>
          <w:sz w:val="24"/>
          <w:szCs w:val="24"/>
          <w:vertAlign w:val="superscript"/>
        </w:rPr>
        <w:t>3</w:t>
      </w:r>
      <w:r w:rsidRPr="004B47AD">
        <w:rPr>
          <w:rFonts w:cstheme="minorHAnsi"/>
          <w:color w:val="000000" w:themeColor="text1"/>
          <w:sz w:val="24"/>
          <w:szCs w:val="24"/>
        </w:rPr>
        <w:t>UWA Centre for Child Health Research, The University of Western Australia, Perth, Australia.</w:t>
      </w:r>
    </w:p>
    <w:p w14:paraId="2C3C24C9" w14:textId="77777777" w:rsidR="002A6F21" w:rsidRPr="004B47AD" w:rsidRDefault="002A6F21" w:rsidP="004B47AD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B47AD">
        <w:rPr>
          <w:rFonts w:cstheme="minorHAnsi"/>
          <w:sz w:val="24"/>
          <w:szCs w:val="24"/>
          <w:vertAlign w:val="superscript"/>
        </w:rPr>
        <w:t>4</w:t>
      </w:r>
      <w:r w:rsidRPr="004B47AD">
        <w:rPr>
          <w:rFonts w:cstheme="minorHAnsi"/>
          <w:sz w:val="24"/>
          <w:szCs w:val="24"/>
        </w:rPr>
        <w:t>Department of Infectious Diseases, Perth Children’s Hospital, Perth, Australia.</w:t>
      </w:r>
    </w:p>
    <w:p w14:paraId="1A5BF69C" w14:textId="77777777" w:rsidR="002A6F21" w:rsidRPr="004B47AD" w:rsidRDefault="002A6F21" w:rsidP="004B47AD">
      <w:pPr>
        <w:spacing w:after="0" w:line="240" w:lineRule="auto"/>
        <w:contextualSpacing/>
        <w:jc w:val="both"/>
        <w:rPr>
          <w:rFonts w:cstheme="minorHAnsi"/>
          <w:sz w:val="24"/>
          <w:szCs w:val="24"/>
          <w:vertAlign w:val="superscript"/>
        </w:rPr>
      </w:pPr>
      <w:r w:rsidRPr="004B47AD">
        <w:rPr>
          <w:rFonts w:cstheme="minorHAnsi"/>
          <w:sz w:val="24"/>
          <w:szCs w:val="24"/>
          <w:vertAlign w:val="superscript"/>
        </w:rPr>
        <w:t>5</w:t>
      </w:r>
      <w:r w:rsidRPr="004B47AD">
        <w:rPr>
          <w:rFonts w:cstheme="minorHAnsi"/>
          <w:color w:val="000000" w:themeColor="text1"/>
          <w:sz w:val="24"/>
          <w:szCs w:val="24"/>
        </w:rPr>
        <w:t>Wesfarmers Centre for Vaccines and Infectious Diseases, The Kids Research Institute Australia, The University of Western Australia, Perth, Australia</w:t>
      </w:r>
    </w:p>
    <w:p w14:paraId="55106C01" w14:textId="77777777" w:rsidR="002A6F21" w:rsidRPr="004B47AD" w:rsidRDefault="002A6F21" w:rsidP="004B47AD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B47AD">
        <w:rPr>
          <w:rFonts w:cstheme="minorHAnsi"/>
          <w:sz w:val="24"/>
          <w:szCs w:val="24"/>
          <w:vertAlign w:val="superscript"/>
        </w:rPr>
        <w:t>6</w:t>
      </w:r>
      <w:r w:rsidRPr="004B47AD">
        <w:rPr>
          <w:rFonts w:cstheme="minorHAnsi"/>
          <w:sz w:val="24"/>
          <w:szCs w:val="24"/>
        </w:rPr>
        <w:t>School of Population Health, Curtin University, Bentley, Western Australia, Australia.</w:t>
      </w:r>
    </w:p>
    <w:p w14:paraId="720C3814" w14:textId="77777777" w:rsidR="002A6F21" w:rsidRPr="004B47AD" w:rsidRDefault="002A6F21" w:rsidP="004B47AD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B47AD">
        <w:rPr>
          <w:rFonts w:cstheme="minorHAnsi"/>
          <w:sz w:val="24"/>
          <w:szCs w:val="24"/>
          <w:vertAlign w:val="superscript"/>
        </w:rPr>
        <w:t>7</w:t>
      </w:r>
      <w:r w:rsidRPr="004B47AD">
        <w:rPr>
          <w:rFonts w:cstheme="minorHAnsi"/>
          <w:sz w:val="24"/>
          <w:szCs w:val="24"/>
        </w:rPr>
        <w:t>School of Biomedical Sciences, The University of Western Australia, Perth, Australia.</w:t>
      </w:r>
    </w:p>
    <w:p w14:paraId="59D04FAD" w14:textId="77777777" w:rsidR="002A6F21" w:rsidRPr="004B47AD" w:rsidRDefault="002A6F21" w:rsidP="004B47AD">
      <w:pPr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4B47AD">
        <w:rPr>
          <w:rFonts w:cstheme="minorHAnsi"/>
          <w:sz w:val="24"/>
          <w:szCs w:val="24"/>
          <w:vertAlign w:val="superscript"/>
        </w:rPr>
        <w:t>8</w:t>
      </w:r>
      <w:r w:rsidRPr="004B47AD">
        <w:rPr>
          <w:rFonts w:cstheme="minorHAnsi"/>
          <w:sz w:val="24"/>
          <w:szCs w:val="24"/>
        </w:rPr>
        <w:t xml:space="preserve">Medical School, </w:t>
      </w:r>
      <w:r w:rsidRPr="004B47AD">
        <w:rPr>
          <w:rFonts w:cstheme="minorHAnsi"/>
          <w:color w:val="000000" w:themeColor="text1"/>
          <w:sz w:val="24"/>
          <w:szCs w:val="24"/>
        </w:rPr>
        <w:t>The University of Western Australia, Perth, Australia.</w:t>
      </w:r>
    </w:p>
    <w:p w14:paraId="2AC285C0" w14:textId="20E6EBF2" w:rsidR="002A6F21" w:rsidRPr="004B47AD" w:rsidRDefault="002A6F21" w:rsidP="004B47AD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B47AD">
        <w:rPr>
          <w:rFonts w:cstheme="minorHAnsi"/>
          <w:sz w:val="24"/>
          <w:szCs w:val="24"/>
          <w:vertAlign w:val="superscript"/>
        </w:rPr>
        <w:t>†</w:t>
      </w:r>
      <w:r w:rsidRPr="004B47AD">
        <w:rPr>
          <w:rFonts w:cstheme="minorHAnsi"/>
          <w:sz w:val="24"/>
          <w:szCs w:val="24"/>
        </w:rPr>
        <w:t>H.E.D.C and C.J.M. contributed equally to this work.</w:t>
      </w:r>
    </w:p>
    <w:p w14:paraId="11EFFD1B" w14:textId="076BF11B" w:rsidR="0098362B" w:rsidRPr="004B47AD" w:rsidRDefault="002A6F21" w:rsidP="004B47AD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B47AD">
        <w:rPr>
          <w:rFonts w:cstheme="minorHAnsi"/>
          <w:sz w:val="24"/>
          <w:szCs w:val="24"/>
        </w:rPr>
        <w:t>*Y.V.K. and A.S. contributed equally to this work</w:t>
      </w:r>
    </w:p>
    <w:p w14:paraId="3ECDA763" w14:textId="77777777" w:rsidR="0098362B" w:rsidRPr="004B47AD" w:rsidRDefault="0098362B" w:rsidP="004B47A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29B4BBE" w14:textId="05917B51" w:rsidR="0098362B" w:rsidRPr="004B47AD" w:rsidRDefault="0098362B" w:rsidP="004B47AD">
      <w:p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 w:rsidRPr="004B47AD">
        <w:rPr>
          <w:rFonts w:cstheme="minorHAnsi"/>
          <w:b/>
          <w:sz w:val="28"/>
          <w:szCs w:val="28"/>
        </w:rPr>
        <w:t>What was your research question?</w:t>
      </w:r>
      <w:r w:rsidR="00540382" w:rsidRPr="004B47AD">
        <w:rPr>
          <w:rFonts w:cstheme="minorHAnsi"/>
          <w:b/>
          <w:sz w:val="28"/>
          <w:szCs w:val="28"/>
        </w:rPr>
        <w:t xml:space="preserve"> </w:t>
      </w:r>
    </w:p>
    <w:p w14:paraId="571EFAD4" w14:textId="24C9CEDC" w:rsidR="000B740B" w:rsidRPr="004B47AD" w:rsidRDefault="00866B94" w:rsidP="004B47AD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4B47AD">
        <w:rPr>
          <w:rFonts w:cstheme="minorHAnsi"/>
          <w:bCs/>
          <w:iCs/>
          <w:sz w:val="24"/>
          <w:szCs w:val="24"/>
        </w:rPr>
        <w:t>Do</w:t>
      </w:r>
      <w:r w:rsidR="00A874B0" w:rsidRPr="004B47AD">
        <w:rPr>
          <w:rFonts w:cstheme="minorHAnsi"/>
          <w:bCs/>
          <w:iCs/>
          <w:sz w:val="24"/>
          <w:szCs w:val="24"/>
        </w:rPr>
        <w:t xml:space="preserve"> patients with </w:t>
      </w:r>
      <w:r w:rsidR="007B4431" w:rsidRPr="004B47AD">
        <w:rPr>
          <w:rFonts w:cstheme="minorHAnsi"/>
          <w:bCs/>
          <w:iCs/>
          <w:sz w:val="24"/>
          <w:szCs w:val="24"/>
        </w:rPr>
        <w:t>allergic bronchopulmonary aspergill</w:t>
      </w:r>
      <w:r w:rsidR="00FB1F7F" w:rsidRPr="004B47AD">
        <w:rPr>
          <w:rFonts w:cstheme="minorHAnsi"/>
          <w:bCs/>
          <w:iCs/>
          <w:sz w:val="24"/>
          <w:szCs w:val="24"/>
        </w:rPr>
        <w:t>osi</w:t>
      </w:r>
      <w:r w:rsidR="007B4431" w:rsidRPr="004B47AD">
        <w:rPr>
          <w:rFonts w:cstheme="minorHAnsi"/>
          <w:bCs/>
          <w:iCs/>
          <w:sz w:val="24"/>
          <w:szCs w:val="24"/>
        </w:rPr>
        <w:t xml:space="preserve">s (ABPA) </w:t>
      </w:r>
      <w:r w:rsidRPr="004B47AD">
        <w:rPr>
          <w:rFonts w:cstheme="minorHAnsi"/>
          <w:bCs/>
          <w:iCs/>
          <w:sz w:val="24"/>
          <w:szCs w:val="24"/>
        </w:rPr>
        <w:t xml:space="preserve">have </w:t>
      </w:r>
      <w:r w:rsidR="00A61E91" w:rsidRPr="004B47AD">
        <w:rPr>
          <w:rFonts w:cstheme="minorHAnsi"/>
          <w:bCs/>
          <w:iCs/>
          <w:sz w:val="24"/>
          <w:szCs w:val="24"/>
        </w:rPr>
        <w:t xml:space="preserve">subtle </w:t>
      </w:r>
      <w:r w:rsidR="00AB0013" w:rsidRPr="004B47AD">
        <w:rPr>
          <w:rFonts w:cstheme="minorHAnsi"/>
          <w:bCs/>
          <w:iCs/>
          <w:sz w:val="24"/>
          <w:szCs w:val="24"/>
        </w:rPr>
        <w:t xml:space="preserve">changes in their blood results before </w:t>
      </w:r>
      <w:r w:rsidR="00A61E91" w:rsidRPr="004B47AD">
        <w:rPr>
          <w:rFonts w:cstheme="minorHAnsi"/>
          <w:bCs/>
          <w:iCs/>
          <w:sz w:val="24"/>
          <w:szCs w:val="24"/>
        </w:rPr>
        <w:t>they reach the level for diagnosis</w:t>
      </w:r>
      <w:r w:rsidR="00C15879" w:rsidRPr="004B47AD">
        <w:rPr>
          <w:rFonts w:cstheme="minorHAnsi"/>
          <w:bCs/>
          <w:iCs/>
          <w:sz w:val="24"/>
          <w:szCs w:val="24"/>
        </w:rPr>
        <w:t xml:space="preserve">? </w:t>
      </w:r>
      <w:r w:rsidR="00F20183" w:rsidRPr="004B47AD">
        <w:rPr>
          <w:rFonts w:cstheme="minorHAnsi"/>
          <w:bCs/>
          <w:iCs/>
          <w:sz w:val="24"/>
          <w:szCs w:val="24"/>
        </w:rPr>
        <w:t xml:space="preserve"> </w:t>
      </w:r>
      <w:r w:rsidR="00C15879" w:rsidRPr="004B47AD">
        <w:rPr>
          <w:rFonts w:cstheme="minorHAnsi"/>
          <w:bCs/>
          <w:iCs/>
          <w:sz w:val="24"/>
          <w:szCs w:val="24"/>
        </w:rPr>
        <w:t>If so, c</w:t>
      </w:r>
      <w:r w:rsidR="00491831" w:rsidRPr="004B47AD">
        <w:rPr>
          <w:rFonts w:cstheme="minorHAnsi"/>
          <w:bCs/>
          <w:iCs/>
          <w:sz w:val="24"/>
          <w:szCs w:val="24"/>
        </w:rPr>
        <w:t>an we use this</w:t>
      </w:r>
      <w:r w:rsidRPr="004B47AD">
        <w:rPr>
          <w:rFonts w:cstheme="minorHAnsi"/>
          <w:bCs/>
          <w:iCs/>
          <w:sz w:val="24"/>
          <w:szCs w:val="24"/>
        </w:rPr>
        <w:t xml:space="preserve"> </w:t>
      </w:r>
      <w:r w:rsidR="00491831" w:rsidRPr="004B47AD">
        <w:rPr>
          <w:rFonts w:cstheme="minorHAnsi"/>
          <w:bCs/>
          <w:iCs/>
          <w:sz w:val="24"/>
          <w:szCs w:val="24"/>
        </w:rPr>
        <w:t xml:space="preserve">to </w:t>
      </w:r>
      <w:r w:rsidRPr="004B47AD">
        <w:rPr>
          <w:rFonts w:cstheme="minorHAnsi"/>
          <w:bCs/>
          <w:iCs/>
          <w:sz w:val="24"/>
          <w:szCs w:val="24"/>
        </w:rPr>
        <w:t xml:space="preserve">help us identify which patients are at higher risk </w:t>
      </w:r>
      <w:r w:rsidR="00F20183" w:rsidRPr="004B47AD">
        <w:rPr>
          <w:rFonts w:cstheme="minorHAnsi"/>
          <w:bCs/>
          <w:iCs/>
          <w:sz w:val="24"/>
          <w:szCs w:val="24"/>
        </w:rPr>
        <w:t>of</w:t>
      </w:r>
      <w:r w:rsidR="00491831" w:rsidRPr="004B47AD">
        <w:rPr>
          <w:rFonts w:cstheme="minorHAnsi"/>
          <w:bCs/>
          <w:iCs/>
          <w:sz w:val="24"/>
          <w:szCs w:val="24"/>
        </w:rPr>
        <w:t xml:space="preserve"> developing ABPA and therefore </w:t>
      </w:r>
      <w:r w:rsidR="00120FE6" w:rsidRPr="004B47AD">
        <w:rPr>
          <w:rFonts w:cstheme="minorHAnsi"/>
          <w:bCs/>
          <w:iCs/>
          <w:sz w:val="24"/>
          <w:szCs w:val="24"/>
        </w:rPr>
        <w:t>make an earlier diagnosis?</w:t>
      </w:r>
      <w:r w:rsidR="00D95ACF" w:rsidRPr="004B47AD">
        <w:rPr>
          <w:rFonts w:cstheme="minorHAnsi"/>
          <w:bCs/>
          <w:iCs/>
          <w:sz w:val="24"/>
          <w:szCs w:val="24"/>
        </w:rPr>
        <w:t xml:space="preserve"> (46</w:t>
      </w:r>
      <w:r w:rsidR="00E02FDF" w:rsidRPr="004B47AD">
        <w:rPr>
          <w:rFonts w:cstheme="minorHAnsi"/>
          <w:bCs/>
          <w:iCs/>
          <w:sz w:val="24"/>
          <w:szCs w:val="24"/>
        </w:rPr>
        <w:t xml:space="preserve"> words</w:t>
      </w:r>
      <w:r w:rsidR="00D95ACF" w:rsidRPr="004B47AD">
        <w:rPr>
          <w:rFonts w:cstheme="minorHAnsi"/>
          <w:bCs/>
          <w:iCs/>
          <w:sz w:val="24"/>
          <w:szCs w:val="24"/>
        </w:rPr>
        <w:t>)</w:t>
      </w:r>
    </w:p>
    <w:p w14:paraId="4AB59C81" w14:textId="77777777" w:rsidR="0098362B" w:rsidRPr="004B47AD" w:rsidRDefault="0098362B" w:rsidP="004B47A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2D21517" w14:textId="39348B5F" w:rsidR="00540382" w:rsidRPr="004B47AD" w:rsidRDefault="0098362B" w:rsidP="004B47AD">
      <w:p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 w:rsidRPr="004B47AD">
        <w:rPr>
          <w:rFonts w:cstheme="minorHAnsi"/>
          <w:b/>
          <w:sz w:val="28"/>
          <w:szCs w:val="28"/>
        </w:rPr>
        <w:t>Why is this important?</w:t>
      </w:r>
      <w:r w:rsidR="00540382" w:rsidRPr="004B47AD">
        <w:rPr>
          <w:rFonts w:cstheme="minorHAnsi"/>
          <w:b/>
          <w:sz w:val="28"/>
          <w:szCs w:val="28"/>
        </w:rPr>
        <w:t xml:space="preserve"> </w:t>
      </w:r>
    </w:p>
    <w:p w14:paraId="3DA4FBAE" w14:textId="67728548" w:rsidR="002A2BC2" w:rsidRPr="004B47AD" w:rsidRDefault="00D95ACF" w:rsidP="004B47AD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4B47AD">
        <w:rPr>
          <w:rFonts w:cstheme="minorHAnsi"/>
          <w:bCs/>
          <w:iCs/>
          <w:sz w:val="24"/>
          <w:szCs w:val="24"/>
        </w:rPr>
        <w:t>ABPA</w:t>
      </w:r>
      <w:r w:rsidR="002A2BC2" w:rsidRPr="004B47AD">
        <w:rPr>
          <w:rFonts w:cstheme="minorHAnsi"/>
          <w:bCs/>
          <w:iCs/>
          <w:sz w:val="24"/>
          <w:szCs w:val="24"/>
        </w:rPr>
        <w:t xml:space="preserve"> is a</w:t>
      </w:r>
      <w:r w:rsidR="008D536C" w:rsidRPr="004B47AD">
        <w:rPr>
          <w:rFonts w:cstheme="minorHAnsi"/>
          <w:bCs/>
          <w:iCs/>
          <w:sz w:val="24"/>
          <w:szCs w:val="24"/>
        </w:rPr>
        <w:t xml:space="preserve"> </w:t>
      </w:r>
      <w:r w:rsidR="002A2BC2" w:rsidRPr="004B47AD">
        <w:rPr>
          <w:rFonts w:cstheme="minorHAnsi"/>
          <w:bCs/>
          <w:iCs/>
          <w:sz w:val="24"/>
          <w:szCs w:val="24"/>
        </w:rPr>
        <w:t>complication of cystic fibrosis (CF)</w:t>
      </w:r>
      <w:r w:rsidR="00C473ED" w:rsidRPr="004B47AD">
        <w:rPr>
          <w:rFonts w:cstheme="minorHAnsi"/>
          <w:bCs/>
          <w:iCs/>
          <w:sz w:val="24"/>
          <w:szCs w:val="24"/>
        </w:rPr>
        <w:t>.</w:t>
      </w:r>
      <w:r w:rsidR="00442836" w:rsidRPr="004B47AD">
        <w:rPr>
          <w:rFonts w:cstheme="minorHAnsi"/>
          <w:bCs/>
          <w:iCs/>
          <w:sz w:val="24"/>
          <w:szCs w:val="24"/>
        </w:rPr>
        <w:t xml:space="preserve"> </w:t>
      </w:r>
      <w:r w:rsidR="00442836" w:rsidRPr="004B47AD">
        <w:rPr>
          <w:rFonts w:cstheme="minorHAnsi"/>
          <w:bCs/>
          <w:i/>
          <w:sz w:val="24"/>
          <w:szCs w:val="24"/>
        </w:rPr>
        <w:t>Aspergillus</w:t>
      </w:r>
      <w:r w:rsidR="00442836" w:rsidRPr="004B47AD">
        <w:rPr>
          <w:rFonts w:cstheme="minorHAnsi"/>
          <w:bCs/>
          <w:iCs/>
          <w:sz w:val="24"/>
          <w:szCs w:val="24"/>
        </w:rPr>
        <w:t xml:space="preserve"> is a fungus</w:t>
      </w:r>
      <w:r w:rsidR="008D536C" w:rsidRPr="004B47AD">
        <w:rPr>
          <w:rFonts w:cstheme="minorHAnsi"/>
          <w:bCs/>
          <w:iCs/>
          <w:sz w:val="24"/>
          <w:szCs w:val="24"/>
        </w:rPr>
        <w:t>,</w:t>
      </w:r>
      <w:r w:rsidR="00442836" w:rsidRPr="004B47AD">
        <w:rPr>
          <w:rFonts w:cstheme="minorHAnsi"/>
          <w:bCs/>
          <w:iCs/>
          <w:sz w:val="24"/>
          <w:szCs w:val="24"/>
        </w:rPr>
        <w:t xml:space="preserve"> present in the environment</w:t>
      </w:r>
      <w:r w:rsidR="008D536C" w:rsidRPr="004B47AD">
        <w:rPr>
          <w:rFonts w:cstheme="minorHAnsi"/>
          <w:bCs/>
          <w:iCs/>
          <w:sz w:val="24"/>
          <w:szCs w:val="24"/>
        </w:rPr>
        <w:t>,</w:t>
      </w:r>
      <w:r w:rsidR="00442836" w:rsidRPr="004B47AD">
        <w:rPr>
          <w:rFonts w:cstheme="minorHAnsi"/>
          <w:bCs/>
          <w:iCs/>
          <w:sz w:val="24"/>
          <w:szCs w:val="24"/>
        </w:rPr>
        <w:t xml:space="preserve"> which can trigger a</w:t>
      </w:r>
      <w:r w:rsidR="00B74FAB" w:rsidRPr="004B47AD">
        <w:rPr>
          <w:rFonts w:cstheme="minorHAnsi"/>
          <w:bCs/>
          <w:iCs/>
          <w:sz w:val="24"/>
          <w:szCs w:val="24"/>
        </w:rPr>
        <w:t xml:space="preserve"> reaction in the lungs of </w:t>
      </w:r>
      <w:r w:rsidR="00591875" w:rsidRPr="004B47AD">
        <w:rPr>
          <w:rFonts w:cstheme="minorHAnsi"/>
          <w:bCs/>
          <w:iCs/>
          <w:sz w:val="24"/>
          <w:szCs w:val="24"/>
        </w:rPr>
        <w:t xml:space="preserve">vulnerable </w:t>
      </w:r>
      <w:r w:rsidR="00B74FAB" w:rsidRPr="004B47AD">
        <w:rPr>
          <w:rFonts w:cstheme="minorHAnsi"/>
          <w:bCs/>
          <w:iCs/>
          <w:sz w:val="24"/>
          <w:szCs w:val="24"/>
        </w:rPr>
        <w:t>people</w:t>
      </w:r>
      <w:r w:rsidR="00694BE2" w:rsidRPr="004B47AD">
        <w:rPr>
          <w:rFonts w:cstheme="minorHAnsi"/>
          <w:bCs/>
          <w:iCs/>
          <w:sz w:val="24"/>
          <w:szCs w:val="24"/>
        </w:rPr>
        <w:t>, including those with CF</w:t>
      </w:r>
      <w:r w:rsidR="00B74FAB" w:rsidRPr="004B47AD">
        <w:rPr>
          <w:rFonts w:cstheme="minorHAnsi"/>
          <w:bCs/>
          <w:iCs/>
          <w:sz w:val="24"/>
          <w:szCs w:val="24"/>
        </w:rPr>
        <w:t xml:space="preserve">; this can present as a worsening cough productive of thick, brown mucus, </w:t>
      </w:r>
      <w:r w:rsidR="00724B11" w:rsidRPr="004B47AD">
        <w:rPr>
          <w:rFonts w:cstheme="minorHAnsi"/>
          <w:bCs/>
          <w:iCs/>
          <w:sz w:val="24"/>
          <w:szCs w:val="24"/>
        </w:rPr>
        <w:t xml:space="preserve">wheeze and tiredness. </w:t>
      </w:r>
      <w:r w:rsidR="003A670C" w:rsidRPr="004B47AD">
        <w:rPr>
          <w:rFonts w:cstheme="minorHAnsi"/>
          <w:bCs/>
          <w:iCs/>
          <w:sz w:val="24"/>
          <w:szCs w:val="24"/>
        </w:rPr>
        <w:t xml:space="preserve">Scans of the lungs show scarred, thickened airways. </w:t>
      </w:r>
      <w:r w:rsidR="00563A5C" w:rsidRPr="004B47AD">
        <w:rPr>
          <w:rFonts w:cstheme="minorHAnsi"/>
          <w:bCs/>
          <w:iCs/>
          <w:sz w:val="24"/>
          <w:szCs w:val="24"/>
        </w:rPr>
        <w:t xml:space="preserve">ABPA can be hard to diagnose because </w:t>
      </w:r>
      <w:r w:rsidR="008D536C" w:rsidRPr="004B47AD">
        <w:rPr>
          <w:rFonts w:cstheme="minorHAnsi"/>
          <w:bCs/>
          <w:iCs/>
          <w:sz w:val="24"/>
          <w:szCs w:val="24"/>
        </w:rPr>
        <w:t>it can remain asymptomatic for long, and symptoms</w:t>
      </w:r>
      <w:r w:rsidR="00563A5C" w:rsidRPr="004B47AD">
        <w:rPr>
          <w:rFonts w:cstheme="minorHAnsi"/>
          <w:bCs/>
          <w:iCs/>
          <w:sz w:val="24"/>
          <w:szCs w:val="24"/>
        </w:rPr>
        <w:t xml:space="preserve"> overlap of </w:t>
      </w:r>
      <w:r w:rsidR="008D536C" w:rsidRPr="004B47AD">
        <w:rPr>
          <w:rFonts w:cstheme="minorHAnsi"/>
          <w:bCs/>
          <w:iCs/>
          <w:sz w:val="24"/>
          <w:szCs w:val="24"/>
        </w:rPr>
        <w:t xml:space="preserve">those of </w:t>
      </w:r>
      <w:r w:rsidR="00563A5C" w:rsidRPr="004B47AD">
        <w:rPr>
          <w:rFonts w:cstheme="minorHAnsi"/>
          <w:bCs/>
          <w:iCs/>
          <w:sz w:val="24"/>
          <w:szCs w:val="24"/>
        </w:rPr>
        <w:t>an infective exacerbation of C</w:t>
      </w:r>
      <w:r w:rsidR="004C47CA" w:rsidRPr="004B47AD">
        <w:rPr>
          <w:rFonts w:cstheme="minorHAnsi"/>
          <w:bCs/>
          <w:iCs/>
          <w:sz w:val="24"/>
          <w:szCs w:val="24"/>
        </w:rPr>
        <w:t xml:space="preserve">F. </w:t>
      </w:r>
      <w:r w:rsidR="00E7244B" w:rsidRPr="004B47AD">
        <w:rPr>
          <w:rFonts w:cstheme="minorHAnsi"/>
          <w:bCs/>
          <w:iCs/>
          <w:sz w:val="24"/>
          <w:szCs w:val="24"/>
        </w:rPr>
        <w:t>Unfortunately,</w:t>
      </w:r>
      <w:r w:rsidR="004C47CA" w:rsidRPr="004B47AD">
        <w:rPr>
          <w:rFonts w:cstheme="minorHAnsi"/>
          <w:bCs/>
          <w:iCs/>
          <w:sz w:val="24"/>
          <w:szCs w:val="24"/>
        </w:rPr>
        <w:t xml:space="preserve"> this can lead to a delay in diagnosis, by which point permanent lung damage may have already occurred.</w:t>
      </w:r>
      <w:r w:rsidR="00E7244B" w:rsidRPr="004B47AD">
        <w:rPr>
          <w:rFonts w:cstheme="minorHAnsi"/>
          <w:bCs/>
          <w:iCs/>
          <w:sz w:val="24"/>
          <w:szCs w:val="24"/>
        </w:rPr>
        <w:t xml:space="preserve"> </w:t>
      </w:r>
      <w:r w:rsidR="00AB02F0" w:rsidRPr="004B47AD">
        <w:rPr>
          <w:rFonts w:cstheme="minorHAnsi"/>
          <w:bCs/>
          <w:iCs/>
          <w:sz w:val="24"/>
          <w:szCs w:val="24"/>
        </w:rPr>
        <w:t>(95</w:t>
      </w:r>
      <w:r w:rsidR="00E02FDF" w:rsidRPr="004B47AD">
        <w:rPr>
          <w:rFonts w:cstheme="minorHAnsi"/>
          <w:bCs/>
          <w:iCs/>
          <w:sz w:val="24"/>
          <w:szCs w:val="24"/>
        </w:rPr>
        <w:t xml:space="preserve"> words</w:t>
      </w:r>
      <w:r w:rsidR="00AB02F0" w:rsidRPr="004B47AD">
        <w:rPr>
          <w:rFonts w:cstheme="minorHAnsi"/>
          <w:bCs/>
          <w:iCs/>
          <w:sz w:val="24"/>
          <w:szCs w:val="24"/>
        </w:rPr>
        <w:t>)</w:t>
      </w:r>
    </w:p>
    <w:p w14:paraId="5B08D8BD" w14:textId="77777777" w:rsidR="0098362B" w:rsidRPr="004B47AD" w:rsidRDefault="0098362B" w:rsidP="004B47A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1BF3942" w14:textId="2FD39726" w:rsidR="00540382" w:rsidRPr="004B47AD" w:rsidRDefault="0098362B" w:rsidP="004B47AD">
      <w:p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 w:rsidRPr="004B47AD">
        <w:rPr>
          <w:rFonts w:cstheme="minorHAnsi"/>
          <w:b/>
          <w:sz w:val="28"/>
          <w:szCs w:val="28"/>
        </w:rPr>
        <w:lastRenderedPageBreak/>
        <w:t>What did you do?</w:t>
      </w:r>
      <w:r w:rsidR="00540382" w:rsidRPr="004B47AD">
        <w:rPr>
          <w:rFonts w:cstheme="minorHAnsi"/>
          <w:b/>
          <w:sz w:val="28"/>
          <w:szCs w:val="28"/>
        </w:rPr>
        <w:t xml:space="preserve"> </w:t>
      </w:r>
    </w:p>
    <w:p w14:paraId="3EE415B9" w14:textId="6E4742B1" w:rsidR="0098362B" w:rsidRPr="004B47AD" w:rsidRDefault="005509FA" w:rsidP="004B47AD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4B47AD">
        <w:rPr>
          <w:rFonts w:cstheme="minorHAnsi"/>
          <w:bCs/>
          <w:iCs/>
          <w:sz w:val="24"/>
          <w:szCs w:val="24"/>
        </w:rPr>
        <w:t xml:space="preserve">Our study analysed the </w:t>
      </w:r>
      <w:r w:rsidR="002071B5" w:rsidRPr="004B47AD">
        <w:rPr>
          <w:rFonts w:cstheme="minorHAnsi"/>
          <w:bCs/>
          <w:iCs/>
          <w:sz w:val="24"/>
          <w:szCs w:val="24"/>
        </w:rPr>
        <w:t xml:space="preserve">blood results of children and teenagers with CF </w:t>
      </w:r>
      <w:r w:rsidR="00DD249C" w:rsidRPr="004B47AD">
        <w:rPr>
          <w:rFonts w:cstheme="minorHAnsi"/>
          <w:bCs/>
          <w:iCs/>
          <w:sz w:val="24"/>
          <w:szCs w:val="24"/>
        </w:rPr>
        <w:t xml:space="preserve">in Western Australia </w:t>
      </w:r>
      <w:r w:rsidR="002071B5" w:rsidRPr="004B47AD">
        <w:rPr>
          <w:rFonts w:cstheme="minorHAnsi"/>
          <w:bCs/>
          <w:iCs/>
          <w:sz w:val="24"/>
          <w:szCs w:val="24"/>
        </w:rPr>
        <w:t>between 2000 and 2020</w:t>
      </w:r>
      <w:r w:rsidR="00DD249C" w:rsidRPr="004B47AD">
        <w:rPr>
          <w:rFonts w:cstheme="minorHAnsi"/>
          <w:bCs/>
          <w:iCs/>
          <w:sz w:val="24"/>
          <w:szCs w:val="24"/>
        </w:rPr>
        <w:t>.</w:t>
      </w:r>
      <w:r w:rsidR="002071B5" w:rsidRPr="004B47AD">
        <w:rPr>
          <w:rFonts w:cstheme="minorHAnsi"/>
          <w:bCs/>
          <w:iCs/>
          <w:sz w:val="24"/>
          <w:szCs w:val="24"/>
        </w:rPr>
        <w:t xml:space="preserve"> </w:t>
      </w:r>
      <w:r w:rsidR="0055052A" w:rsidRPr="004B47AD">
        <w:rPr>
          <w:rFonts w:cstheme="minorHAnsi"/>
          <w:bCs/>
          <w:iCs/>
          <w:sz w:val="24"/>
          <w:szCs w:val="24"/>
        </w:rPr>
        <w:t>We</w:t>
      </w:r>
      <w:r w:rsidR="005E0D00" w:rsidRPr="004B47AD">
        <w:rPr>
          <w:rFonts w:cstheme="minorHAnsi"/>
          <w:bCs/>
          <w:iCs/>
          <w:sz w:val="24"/>
          <w:szCs w:val="24"/>
        </w:rPr>
        <w:t xml:space="preserve"> looked at</w:t>
      </w:r>
      <w:r w:rsidR="00D513F5" w:rsidRPr="004B47AD">
        <w:rPr>
          <w:rFonts w:cstheme="minorHAnsi"/>
          <w:bCs/>
          <w:iCs/>
          <w:sz w:val="24"/>
          <w:szCs w:val="24"/>
        </w:rPr>
        <w:t xml:space="preserve"> different blood </w:t>
      </w:r>
      <w:r w:rsidR="00E64EFE" w:rsidRPr="004B47AD">
        <w:rPr>
          <w:rFonts w:cstheme="minorHAnsi"/>
          <w:bCs/>
          <w:iCs/>
          <w:sz w:val="24"/>
          <w:szCs w:val="24"/>
        </w:rPr>
        <w:t>tes</w:t>
      </w:r>
      <w:r w:rsidR="00D513F5" w:rsidRPr="004B47AD">
        <w:rPr>
          <w:rFonts w:cstheme="minorHAnsi"/>
          <w:bCs/>
          <w:iCs/>
          <w:sz w:val="24"/>
          <w:szCs w:val="24"/>
        </w:rPr>
        <w:t xml:space="preserve">ts which are routinely </w:t>
      </w:r>
      <w:r w:rsidR="00E64EFE" w:rsidRPr="004B47AD">
        <w:rPr>
          <w:rFonts w:cstheme="minorHAnsi"/>
          <w:bCs/>
          <w:iCs/>
          <w:sz w:val="24"/>
          <w:szCs w:val="24"/>
        </w:rPr>
        <w:t>measur</w:t>
      </w:r>
      <w:r w:rsidR="00D513F5" w:rsidRPr="004B47AD">
        <w:rPr>
          <w:rFonts w:cstheme="minorHAnsi"/>
          <w:bCs/>
          <w:iCs/>
          <w:sz w:val="24"/>
          <w:szCs w:val="24"/>
        </w:rPr>
        <w:t>ed in patients with</w:t>
      </w:r>
      <w:r w:rsidR="006630CA" w:rsidRPr="004B47AD">
        <w:rPr>
          <w:rFonts w:cstheme="minorHAnsi"/>
          <w:bCs/>
          <w:iCs/>
          <w:sz w:val="24"/>
          <w:szCs w:val="24"/>
        </w:rPr>
        <w:t xml:space="preserve"> CF</w:t>
      </w:r>
      <w:r w:rsidR="00D513F5" w:rsidRPr="004B47AD">
        <w:rPr>
          <w:rFonts w:cstheme="minorHAnsi"/>
          <w:bCs/>
          <w:iCs/>
          <w:sz w:val="24"/>
          <w:szCs w:val="24"/>
        </w:rPr>
        <w:t xml:space="preserve"> (</w:t>
      </w:r>
      <w:proofErr w:type="spellStart"/>
      <w:r w:rsidR="00D513F5" w:rsidRPr="004B47AD">
        <w:rPr>
          <w:rFonts w:cstheme="minorHAnsi"/>
          <w:bCs/>
          <w:iCs/>
          <w:sz w:val="24"/>
          <w:szCs w:val="24"/>
        </w:rPr>
        <w:t>pwCF</w:t>
      </w:r>
      <w:proofErr w:type="spellEnd"/>
      <w:r w:rsidR="00D513F5" w:rsidRPr="004B47AD">
        <w:rPr>
          <w:rFonts w:cstheme="minorHAnsi"/>
          <w:bCs/>
          <w:iCs/>
          <w:sz w:val="24"/>
          <w:szCs w:val="24"/>
        </w:rPr>
        <w:t>)</w:t>
      </w:r>
      <w:r w:rsidR="00260D1C" w:rsidRPr="004B47AD">
        <w:rPr>
          <w:rFonts w:cstheme="minorHAnsi"/>
          <w:bCs/>
          <w:iCs/>
          <w:sz w:val="24"/>
          <w:szCs w:val="24"/>
        </w:rPr>
        <w:t>:</w:t>
      </w:r>
      <w:r w:rsidR="00D513F5" w:rsidRPr="004B47AD">
        <w:rPr>
          <w:rFonts w:cstheme="minorHAnsi"/>
          <w:bCs/>
          <w:iCs/>
          <w:sz w:val="24"/>
          <w:szCs w:val="24"/>
        </w:rPr>
        <w:t xml:space="preserve"> serum IgE, eosinophils and </w:t>
      </w:r>
      <w:r w:rsidR="00D513F5" w:rsidRPr="004B47AD">
        <w:rPr>
          <w:rFonts w:cstheme="minorHAnsi"/>
          <w:bCs/>
          <w:i/>
          <w:sz w:val="24"/>
          <w:szCs w:val="24"/>
        </w:rPr>
        <w:t>Aspergillus</w:t>
      </w:r>
      <w:r w:rsidR="00D513F5" w:rsidRPr="004B47AD">
        <w:rPr>
          <w:rFonts w:cstheme="minorHAnsi"/>
          <w:bCs/>
          <w:iCs/>
          <w:sz w:val="24"/>
          <w:szCs w:val="24"/>
        </w:rPr>
        <w:t>-specific IgE (</w:t>
      </w:r>
      <w:r w:rsidR="00D513F5" w:rsidRPr="004B47AD">
        <w:rPr>
          <w:rFonts w:cstheme="minorHAnsi"/>
          <w:bCs/>
          <w:i/>
          <w:sz w:val="24"/>
          <w:szCs w:val="24"/>
        </w:rPr>
        <w:t>Asp</w:t>
      </w:r>
      <w:r w:rsidR="00D513F5" w:rsidRPr="004B47AD">
        <w:rPr>
          <w:rFonts w:cstheme="minorHAnsi"/>
          <w:bCs/>
          <w:iCs/>
          <w:sz w:val="24"/>
          <w:szCs w:val="24"/>
        </w:rPr>
        <w:t>-</w:t>
      </w:r>
      <w:proofErr w:type="spellStart"/>
      <w:r w:rsidR="00D513F5" w:rsidRPr="004B47AD">
        <w:rPr>
          <w:rFonts w:cstheme="minorHAnsi"/>
          <w:bCs/>
          <w:iCs/>
          <w:sz w:val="24"/>
          <w:szCs w:val="24"/>
        </w:rPr>
        <w:t>sp</w:t>
      </w:r>
      <w:proofErr w:type="spellEnd"/>
      <w:r w:rsidR="00D513F5" w:rsidRPr="004B47AD">
        <w:rPr>
          <w:rFonts w:cstheme="minorHAnsi"/>
          <w:bCs/>
          <w:iCs/>
          <w:sz w:val="24"/>
          <w:szCs w:val="24"/>
        </w:rPr>
        <w:t xml:space="preserve"> IgE)</w:t>
      </w:r>
      <w:r w:rsidR="005E0D00" w:rsidRPr="004B47AD">
        <w:rPr>
          <w:rFonts w:cstheme="minorHAnsi"/>
          <w:bCs/>
          <w:iCs/>
          <w:sz w:val="24"/>
          <w:szCs w:val="24"/>
        </w:rPr>
        <w:t>; w</w:t>
      </w:r>
      <w:r w:rsidR="00D513F5" w:rsidRPr="004B47AD">
        <w:rPr>
          <w:rFonts w:cstheme="minorHAnsi"/>
          <w:bCs/>
          <w:iCs/>
          <w:sz w:val="24"/>
          <w:szCs w:val="24"/>
        </w:rPr>
        <w:t xml:space="preserve">e </w:t>
      </w:r>
      <w:r w:rsidR="005E0D00" w:rsidRPr="004B47AD">
        <w:rPr>
          <w:rFonts w:cstheme="minorHAnsi"/>
          <w:bCs/>
          <w:iCs/>
          <w:sz w:val="24"/>
          <w:szCs w:val="24"/>
        </w:rPr>
        <w:t>assessed</w:t>
      </w:r>
      <w:r w:rsidR="00D513F5" w:rsidRPr="004B47AD">
        <w:rPr>
          <w:rFonts w:cstheme="minorHAnsi"/>
          <w:bCs/>
          <w:iCs/>
          <w:sz w:val="24"/>
          <w:szCs w:val="24"/>
        </w:rPr>
        <w:t xml:space="preserve"> trends over time and compared the results of children who developed </w:t>
      </w:r>
      <w:r w:rsidR="006630CA" w:rsidRPr="004B47AD">
        <w:rPr>
          <w:rFonts w:cstheme="minorHAnsi"/>
          <w:bCs/>
          <w:iCs/>
          <w:sz w:val="24"/>
          <w:szCs w:val="24"/>
        </w:rPr>
        <w:t xml:space="preserve">ABPA </w:t>
      </w:r>
      <w:r w:rsidR="00D513F5" w:rsidRPr="004B47AD">
        <w:rPr>
          <w:rFonts w:cstheme="minorHAnsi"/>
          <w:bCs/>
          <w:iCs/>
          <w:sz w:val="24"/>
          <w:szCs w:val="24"/>
        </w:rPr>
        <w:t xml:space="preserve">with those who did not. We </w:t>
      </w:r>
      <w:r w:rsidR="004D3380" w:rsidRPr="004B47AD">
        <w:rPr>
          <w:rFonts w:cstheme="minorHAnsi"/>
          <w:bCs/>
          <w:iCs/>
          <w:sz w:val="24"/>
          <w:szCs w:val="24"/>
        </w:rPr>
        <w:t>used th</w:t>
      </w:r>
      <w:r w:rsidR="008D536C" w:rsidRPr="004B47AD">
        <w:rPr>
          <w:rFonts w:cstheme="minorHAnsi"/>
          <w:bCs/>
          <w:iCs/>
          <w:sz w:val="24"/>
          <w:szCs w:val="24"/>
        </w:rPr>
        <w:t>ese</w:t>
      </w:r>
      <w:r w:rsidR="004D3380" w:rsidRPr="004B47AD">
        <w:rPr>
          <w:rFonts w:cstheme="minorHAnsi"/>
          <w:bCs/>
          <w:iCs/>
          <w:sz w:val="24"/>
          <w:szCs w:val="24"/>
        </w:rPr>
        <w:t xml:space="preserve"> data to establish thresholds to predict which patients are at risk of developing ABPA in the </w:t>
      </w:r>
      <w:r w:rsidR="008D536C" w:rsidRPr="004B47AD">
        <w:rPr>
          <w:rFonts w:cstheme="minorHAnsi"/>
          <w:bCs/>
          <w:iCs/>
          <w:sz w:val="24"/>
          <w:szCs w:val="24"/>
        </w:rPr>
        <w:t>future</w:t>
      </w:r>
      <w:r w:rsidR="004D3380" w:rsidRPr="004B47AD">
        <w:rPr>
          <w:rFonts w:cstheme="minorHAnsi"/>
          <w:bCs/>
          <w:iCs/>
          <w:sz w:val="24"/>
          <w:szCs w:val="24"/>
        </w:rPr>
        <w:t>.</w:t>
      </w:r>
      <w:r w:rsidR="006630CA" w:rsidRPr="004B47AD">
        <w:rPr>
          <w:rFonts w:cstheme="minorHAnsi"/>
          <w:bCs/>
          <w:iCs/>
          <w:sz w:val="24"/>
          <w:szCs w:val="24"/>
        </w:rPr>
        <w:t xml:space="preserve"> (</w:t>
      </w:r>
      <w:r w:rsidR="00344FEB" w:rsidRPr="004B47AD">
        <w:rPr>
          <w:rFonts w:cstheme="minorHAnsi"/>
          <w:bCs/>
          <w:iCs/>
          <w:sz w:val="24"/>
          <w:szCs w:val="24"/>
        </w:rPr>
        <w:t>83</w:t>
      </w:r>
      <w:r w:rsidR="00E02FDF" w:rsidRPr="004B47AD">
        <w:rPr>
          <w:rFonts w:cstheme="minorHAnsi"/>
          <w:bCs/>
          <w:iCs/>
          <w:sz w:val="24"/>
          <w:szCs w:val="24"/>
        </w:rPr>
        <w:t xml:space="preserve"> words</w:t>
      </w:r>
      <w:r w:rsidR="006630CA" w:rsidRPr="004B47AD">
        <w:rPr>
          <w:rFonts w:cstheme="minorHAnsi"/>
          <w:bCs/>
          <w:iCs/>
          <w:sz w:val="24"/>
          <w:szCs w:val="24"/>
        </w:rPr>
        <w:t>)</w:t>
      </w:r>
    </w:p>
    <w:p w14:paraId="2FAE4B43" w14:textId="77777777" w:rsidR="00D513F5" w:rsidRPr="004B47AD" w:rsidRDefault="00D513F5" w:rsidP="004B47A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84AAFED" w14:textId="635A6C43" w:rsidR="00540382" w:rsidRPr="004B47AD" w:rsidRDefault="0098362B" w:rsidP="004B47AD">
      <w:p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 w:rsidRPr="004B47AD">
        <w:rPr>
          <w:rFonts w:cstheme="minorHAnsi"/>
          <w:b/>
          <w:sz w:val="28"/>
          <w:szCs w:val="28"/>
        </w:rPr>
        <w:t>What did you find?</w:t>
      </w:r>
      <w:r w:rsidR="00540382" w:rsidRPr="004B47AD">
        <w:rPr>
          <w:rFonts w:cstheme="minorHAnsi"/>
          <w:b/>
          <w:sz w:val="28"/>
          <w:szCs w:val="28"/>
        </w:rPr>
        <w:t xml:space="preserve"> </w:t>
      </w:r>
    </w:p>
    <w:p w14:paraId="6FD16F68" w14:textId="55B42C8D" w:rsidR="0098362B" w:rsidRPr="004B47AD" w:rsidRDefault="000E45B7" w:rsidP="004B47AD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4B47AD">
        <w:rPr>
          <w:rFonts w:cstheme="minorHAnsi"/>
          <w:bCs/>
          <w:sz w:val="24"/>
          <w:szCs w:val="24"/>
        </w:rPr>
        <w:t>We identified 353 children and teenagers with CF, of these 19</w:t>
      </w:r>
      <w:r w:rsidR="00225C6E" w:rsidRPr="004B47AD">
        <w:rPr>
          <w:rFonts w:cstheme="minorHAnsi"/>
          <w:bCs/>
          <w:sz w:val="24"/>
          <w:szCs w:val="24"/>
        </w:rPr>
        <w:t xml:space="preserve"> were diagnosed with ABPA.</w:t>
      </w:r>
      <w:r w:rsidR="007073B1" w:rsidRPr="004B47AD">
        <w:rPr>
          <w:rFonts w:cstheme="minorHAnsi"/>
          <w:bCs/>
          <w:sz w:val="24"/>
          <w:szCs w:val="24"/>
        </w:rPr>
        <w:t xml:space="preserve"> </w:t>
      </w:r>
      <w:r w:rsidR="00225C6E" w:rsidRPr="004B47AD">
        <w:rPr>
          <w:rFonts w:cstheme="minorHAnsi"/>
          <w:bCs/>
          <w:sz w:val="24"/>
          <w:szCs w:val="24"/>
        </w:rPr>
        <w:t xml:space="preserve"> </w:t>
      </w:r>
      <w:r w:rsidR="00C75BB4" w:rsidRPr="004B47AD">
        <w:rPr>
          <w:rFonts w:cstheme="minorHAnsi"/>
          <w:bCs/>
          <w:sz w:val="24"/>
          <w:szCs w:val="24"/>
        </w:rPr>
        <w:t>T</w:t>
      </w:r>
      <w:r w:rsidR="0030517A" w:rsidRPr="004B47AD">
        <w:rPr>
          <w:rFonts w:cstheme="minorHAnsi"/>
          <w:bCs/>
          <w:sz w:val="24"/>
          <w:szCs w:val="24"/>
        </w:rPr>
        <w:t>he group of children who went on to develop ABPA</w:t>
      </w:r>
      <w:r w:rsidR="00C75BB4" w:rsidRPr="004B47AD">
        <w:rPr>
          <w:rFonts w:cstheme="minorHAnsi"/>
          <w:bCs/>
          <w:sz w:val="24"/>
          <w:szCs w:val="24"/>
        </w:rPr>
        <w:t xml:space="preserve"> had</w:t>
      </w:r>
      <w:r w:rsidR="00EA12AB" w:rsidRPr="004B47AD">
        <w:rPr>
          <w:rFonts w:cstheme="minorHAnsi"/>
          <w:bCs/>
          <w:sz w:val="24"/>
          <w:szCs w:val="24"/>
        </w:rPr>
        <w:t xml:space="preserve"> rising IgE, eosinophils and </w:t>
      </w:r>
      <w:r w:rsidR="00EA12AB" w:rsidRPr="004B47AD">
        <w:rPr>
          <w:rFonts w:cstheme="minorHAnsi"/>
          <w:bCs/>
          <w:i/>
          <w:iCs/>
          <w:sz w:val="24"/>
          <w:szCs w:val="24"/>
        </w:rPr>
        <w:t>Asp-</w:t>
      </w:r>
      <w:proofErr w:type="spellStart"/>
      <w:r w:rsidR="00EA12AB" w:rsidRPr="004B47AD">
        <w:rPr>
          <w:rFonts w:cstheme="minorHAnsi"/>
          <w:bCs/>
          <w:sz w:val="24"/>
          <w:szCs w:val="24"/>
        </w:rPr>
        <w:t>sp</w:t>
      </w:r>
      <w:proofErr w:type="spellEnd"/>
      <w:r w:rsidR="00EA12AB" w:rsidRPr="004B47AD">
        <w:rPr>
          <w:rFonts w:cstheme="minorHAnsi"/>
          <w:bCs/>
          <w:sz w:val="24"/>
          <w:szCs w:val="24"/>
        </w:rPr>
        <w:t xml:space="preserve"> IgE for </w:t>
      </w:r>
      <w:r w:rsidR="00B1394A" w:rsidRPr="004B47AD">
        <w:rPr>
          <w:rFonts w:cstheme="minorHAnsi"/>
          <w:bCs/>
          <w:sz w:val="24"/>
          <w:szCs w:val="24"/>
        </w:rPr>
        <w:t>3 years before they reached the current threshold for diagnosis</w:t>
      </w:r>
      <w:r w:rsidR="00B33E72" w:rsidRPr="004B47AD">
        <w:rPr>
          <w:rFonts w:cstheme="minorHAnsi"/>
          <w:bCs/>
          <w:sz w:val="24"/>
          <w:szCs w:val="24"/>
        </w:rPr>
        <w:t xml:space="preserve">, </w:t>
      </w:r>
      <w:r w:rsidR="00FC054D" w:rsidRPr="004B47AD">
        <w:rPr>
          <w:rFonts w:cstheme="minorHAnsi"/>
          <w:bCs/>
          <w:sz w:val="24"/>
          <w:szCs w:val="24"/>
        </w:rPr>
        <w:t xml:space="preserve">with a visibly different trajectory from age 2 and remaining high from then on. </w:t>
      </w:r>
      <w:r w:rsidR="00DD0086" w:rsidRPr="004B47AD">
        <w:rPr>
          <w:rFonts w:cstheme="minorHAnsi"/>
          <w:bCs/>
          <w:iCs/>
          <w:sz w:val="24"/>
          <w:szCs w:val="24"/>
        </w:rPr>
        <w:t xml:space="preserve">Our findings suggest that the process that leads to ABPA begins early in childhood, and is long-lasting. We found that the early changes seen on routine blood tests can be used to help predict the risk of developing ABPA in </w:t>
      </w:r>
      <w:proofErr w:type="spellStart"/>
      <w:r w:rsidR="00DD0086" w:rsidRPr="004B47AD">
        <w:rPr>
          <w:rFonts w:cstheme="minorHAnsi"/>
          <w:bCs/>
          <w:iCs/>
          <w:sz w:val="24"/>
          <w:szCs w:val="24"/>
        </w:rPr>
        <w:t>pwCF</w:t>
      </w:r>
      <w:proofErr w:type="spellEnd"/>
      <w:r w:rsidR="00DD0086" w:rsidRPr="004B47AD">
        <w:rPr>
          <w:rFonts w:cstheme="minorHAnsi"/>
          <w:bCs/>
          <w:iCs/>
          <w:sz w:val="24"/>
          <w:szCs w:val="24"/>
        </w:rPr>
        <w:t xml:space="preserve">. </w:t>
      </w:r>
      <w:r w:rsidR="00B33E72" w:rsidRPr="004B47AD">
        <w:rPr>
          <w:rFonts w:cstheme="minorHAnsi"/>
          <w:bCs/>
          <w:iCs/>
          <w:sz w:val="24"/>
          <w:szCs w:val="24"/>
        </w:rPr>
        <w:t>(98</w:t>
      </w:r>
      <w:r w:rsidR="00E02FDF" w:rsidRPr="004B47AD">
        <w:rPr>
          <w:rFonts w:cstheme="minorHAnsi"/>
          <w:bCs/>
          <w:iCs/>
          <w:sz w:val="24"/>
          <w:szCs w:val="24"/>
        </w:rPr>
        <w:t xml:space="preserve"> words</w:t>
      </w:r>
      <w:r w:rsidR="00B33E72" w:rsidRPr="004B47AD">
        <w:rPr>
          <w:rFonts w:cstheme="minorHAnsi"/>
          <w:bCs/>
          <w:iCs/>
          <w:sz w:val="24"/>
          <w:szCs w:val="24"/>
        </w:rPr>
        <w:t>)</w:t>
      </w:r>
    </w:p>
    <w:p w14:paraId="31537A01" w14:textId="77777777" w:rsidR="0055052A" w:rsidRPr="004B47AD" w:rsidRDefault="0055052A" w:rsidP="004B47A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3103A36" w14:textId="1EF82FEB" w:rsidR="00540382" w:rsidRPr="004B47AD" w:rsidRDefault="0098362B" w:rsidP="004B47AD">
      <w:p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 w:rsidRPr="004B47AD">
        <w:rPr>
          <w:rFonts w:cstheme="minorHAnsi"/>
          <w:b/>
          <w:sz w:val="28"/>
          <w:szCs w:val="28"/>
        </w:rPr>
        <w:t>What does this mean and reasons for caution?</w:t>
      </w:r>
      <w:r w:rsidR="00540382" w:rsidRPr="004B47AD">
        <w:rPr>
          <w:rFonts w:cstheme="minorHAnsi"/>
          <w:b/>
          <w:sz w:val="28"/>
          <w:szCs w:val="28"/>
        </w:rPr>
        <w:t xml:space="preserve"> </w:t>
      </w:r>
    </w:p>
    <w:p w14:paraId="709D67B0" w14:textId="5E063923" w:rsidR="00542DA7" w:rsidRPr="004B47AD" w:rsidRDefault="00047334" w:rsidP="004B47AD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4B47AD">
        <w:rPr>
          <w:rFonts w:cstheme="minorHAnsi"/>
          <w:bCs/>
          <w:iCs/>
          <w:sz w:val="24"/>
          <w:szCs w:val="24"/>
        </w:rPr>
        <w:t xml:space="preserve">Children with low levels of IgE, eosinophils and </w:t>
      </w:r>
      <w:r w:rsidRPr="004B47AD">
        <w:rPr>
          <w:rFonts w:cstheme="minorHAnsi"/>
          <w:bCs/>
          <w:i/>
          <w:sz w:val="24"/>
          <w:szCs w:val="24"/>
        </w:rPr>
        <w:t>Asp-</w:t>
      </w:r>
      <w:proofErr w:type="spellStart"/>
      <w:r w:rsidRPr="004B47AD">
        <w:rPr>
          <w:rFonts w:cstheme="minorHAnsi"/>
          <w:bCs/>
          <w:iCs/>
          <w:sz w:val="24"/>
          <w:szCs w:val="24"/>
        </w:rPr>
        <w:t>sp</w:t>
      </w:r>
      <w:proofErr w:type="spellEnd"/>
      <w:r w:rsidRPr="004B47AD">
        <w:rPr>
          <w:rFonts w:cstheme="minorHAnsi"/>
          <w:bCs/>
          <w:iCs/>
          <w:sz w:val="24"/>
          <w:szCs w:val="24"/>
        </w:rPr>
        <w:t xml:space="preserve"> IgE</w:t>
      </w:r>
      <w:r w:rsidR="00871B04" w:rsidRPr="004B47AD">
        <w:rPr>
          <w:rFonts w:cstheme="minorHAnsi"/>
          <w:bCs/>
          <w:iCs/>
          <w:sz w:val="24"/>
          <w:szCs w:val="24"/>
        </w:rPr>
        <w:t xml:space="preserve"> are at very low risk of developing ABPA, and so it could be considered to delay re-screening for 5 years. Conversely, patients</w:t>
      </w:r>
      <w:r w:rsidR="00E13781" w:rsidRPr="004B47AD">
        <w:rPr>
          <w:rFonts w:cstheme="minorHAnsi"/>
          <w:bCs/>
          <w:iCs/>
          <w:sz w:val="24"/>
          <w:szCs w:val="24"/>
        </w:rPr>
        <w:t xml:space="preserve"> with rising levels</w:t>
      </w:r>
      <w:r w:rsidR="00395BB4" w:rsidRPr="004B47AD">
        <w:rPr>
          <w:rFonts w:cstheme="minorHAnsi"/>
          <w:bCs/>
          <w:iCs/>
          <w:sz w:val="24"/>
          <w:szCs w:val="24"/>
        </w:rPr>
        <w:t>, even when below the threshold for diagnosis,</w:t>
      </w:r>
      <w:r w:rsidR="00E13781" w:rsidRPr="004B47AD">
        <w:rPr>
          <w:rFonts w:cstheme="minorHAnsi"/>
          <w:bCs/>
          <w:iCs/>
          <w:sz w:val="24"/>
          <w:szCs w:val="24"/>
        </w:rPr>
        <w:t xml:space="preserve"> may benefit from more frequent monitoring</w:t>
      </w:r>
      <w:r w:rsidR="00651AB2" w:rsidRPr="004B47AD">
        <w:rPr>
          <w:rFonts w:cstheme="minorHAnsi"/>
          <w:bCs/>
          <w:iCs/>
          <w:sz w:val="24"/>
          <w:szCs w:val="24"/>
        </w:rPr>
        <w:t xml:space="preserve"> to help diagnose</w:t>
      </w:r>
      <w:r w:rsidR="008D536C" w:rsidRPr="004B47AD">
        <w:rPr>
          <w:rFonts w:cstheme="minorHAnsi"/>
          <w:bCs/>
          <w:iCs/>
          <w:sz w:val="24"/>
          <w:szCs w:val="24"/>
        </w:rPr>
        <w:t xml:space="preserve"> ABPA</w:t>
      </w:r>
      <w:r w:rsidR="00651AB2" w:rsidRPr="004B47AD">
        <w:rPr>
          <w:rFonts w:cstheme="minorHAnsi"/>
          <w:bCs/>
          <w:iCs/>
          <w:sz w:val="24"/>
          <w:szCs w:val="24"/>
        </w:rPr>
        <w:t xml:space="preserve"> more promptly</w:t>
      </w:r>
      <w:r w:rsidR="00542DA7" w:rsidRPr="004B47AD">
        <w:rPr>
          <w:rFonts w:cstheme="minorHAnsi"/>
          <w:bCs/>
          <w:iCs/>
          <w:sz w:val="24"/>
          <w:szCs w:val="24"/>
        </w:rPr>
        <w:t>.</w:t>
      </w:r>
    </w:p>
    <w:p w14:paraId="4A588330" w14:textId="5ADE8A68" w:rsidR="007F557C" w:rsidRPr="004B47AD" w:rsidRDefault="007F557C" w:rsidP="004B47AD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4B47AD">
        <w:rPr>
          <w:rFonts w:cstheme="minorHAnsi"/>
          <w:bCs/>
          <w:iCs/>
          <w:sz w:val="24"/>
          <w:szCs w:val="24"/>
        </w:rPr>
        <w:t xml:space="preserve">This </w:t>
      </w:r>
      <w:r w:rsidR="008B059A" w:rsidRPr="004B47AD">
        <w:rPr>
          <w:rFonts w:cstheme="minorHAnsi"/>
          <w:bCs/>
          <w:iCs/>
          <w:sz w:val="24"/>
          <w:szCs w:val="24"/>
        </w:rPr>
        <w:t>study was done before the widespread use of modulator therapy in children</w:t>
      </w:r>
      <w:r w:rsidR="004D457C" w:rsidRPr="004B47AD">
        <w:rPr>
          <w:rFonts w:cstheme="minorHAnsi"/>
          <w:bCs/>
          <w:iCs/>
          <w:sz w:val="24"/>
          <w:szCs w:val="24"/>
        </w:rPr>
        <w:t xml:space="preserve">, </w:t>
      </w:r>
      <w:r w:rsidR="00CF7EBF" w:rsidRPr="004B47AD">
        <w:rPr>
          <w:rFonts w:cstheme="minorHAnsi"/>
          <w:bCs/>
          <w:iCs/>
          <w:sz w:val="24"/>
          <w:szCs w:val="24"/>
        </w:rPr>
        <w:t xml:space="preserve">which recent studies show are likely to reduce the risk of ABPA development. </w:t>
      </w:r>
      <w:r w:rsidR="00EE01B1" w:rsidRPr="004B47AD">
        <w:rPr>
          <w:rFonts w:cstheme="minorHAnsi"/>
          <w:bCs/>
          <w:iCs/>
          <w:sz w:val="24"/>
          <w:szCs w:val="24"/>
        </w:rPr>
        <w:t>However,</w:t>
      </w:r>
      <w:r w:rsidR="00C167CD" w:rsidRPr="004B47AD">
        <w:rPr>
          <w:rFonts w:cstheme="minorHAnsi"/>
          <w:bCs/>
          <w:iCs/>
          <w:sz w:val="24"/>
          <w:szCs w:val="24"/>
        </w:rPr>
        <w:t xml:space="preserve"> </w:t>
      </w:r>
      <w:r w:rsidR="00DF38F6" w:rsidRPr="004B47AD">
        <w:rPr>
          <w:rFonts w:cstheme="minorHAnsi"/>
          <w:bCs/>
          <w:iCs/>
          <w:sz w:val="24"/>
          <w:szCs w:val="24"/>
        </w:rPr>
        <w:t xml:space="preserve">as there are a proportion of </w:t>
      </w:r>
      <w:proofErr w:type="spellStart"/>
      <w:r w:rsidR="00DF38F6" w:rsidRPr="004B47AD">
        <w:rPr>
          <w:rFonts w:cstheme="minorHAnsi"/>
          <w:bCs/>
          <w:iCs/>
          <w:sz w:val="24"/>
          <w:szCs w:val="24"/>
        </w:rPr>
        <w:t>pwCF</w:t>
      </w:r>
      <w:proofErr w:type="spellEnd"/>
      <w:r w:rsidR="00DF38F6" w:rsidRPr="004B47AD">
        <w:rPr>
          <w:rFonts w:cstheme="minorHAnsi"/>
          <w:bCs/>
          <w:iCs/>
          <w:sz w:val="24"/>
          <w:szCs w:val="24"/>
        </w:rPr>
        <w:t xml:space="preserve"> </w:t>
      </w:r>
      <w:r w:rsidR="00E81417" w:rsidRPr="004B47AD">
        <w:rPr>
          <w:rFonts w:cstheme="minorHAnsi"/>
          <w:bCs/>
          <w:iCs/>
          <w:sz w:val="24"/>
          <w:szCs w:val="24"/>
        </w:rPr>
        <w:t>who are not eligible</w:t>
      </w:r>
      <w:r w:rsidR="001437FC" w:rsidRPr="004B47AD">
        <w:rPr>
          <w:rFonts w:cstheme="minorHAnsi"/>
          <w:bCs/>
          <w:iCs/>
          <w:sz w:val="24"/>
          <w:szCs w:val="24"/>
        </w:rPr>
        <w:t xml:space="preserve">, </w:t>
      </w:r>
      <w:r w:rsidR="00E81417" w:rsidRPr="004B47AD">
        <w:rPr>
          <w:rFonts w:cstheme="minorHAnsi"/>
          <w:bCs/>
          <w:iCs/>
          <w:sz w:val="24"/>
          <w:szCs w:val="24"/>
        </w:rPr>
        <w:t>it is still important to understand the risk</w:t>
      </w:r>
      <w:r w:rsidR="00316AE7" w:rsidRPr="004B47AD">
        <w:rPr>
          <w:rFonts w:cstheme="minorHAnsi"/>
          <w:bCs/>
          <w:iCs/>
          <w:sz w:val="24"/>
          <w:szCs w:val="24"/>
        </w:rPr>
        <w:t>.</w:t>
      </w:r>
      <w:r w:rsidR="001437FC" w:rsidRPr="004B47AD">
        <w:rPr>
          <w:rFonts w:cstheme="minorHAnsi"/>
          <w:bCs/>
          <w:iCs/>
          <w:sz w:val="24"/>
          <w:szCs w:val="24"/>
        </w:rPr>
        <w:t xml:space="preserve"> </w:t>
      </w:r>
      <w:r w:rsidR="00651AB2" w:rsidRPr="004B47AD">
        <w:rPr>
          <w:rFonts w:cstheme="minorHAnsi"/>
          <w:bCs/>
          <w:iCs/>
          <w:sz w:val="24"/>
          <w:szCs w:val="24"/>
        </w:rPr>
        <w:t>(99</w:t>
      </w:r>
      <w:r w:rsidR="00E02FDF" w:rsidRPr="004B47AD">
        <w:rPr>
          <w:rFonts w:cstheme="minorHAnsi"/>
          <w:bCs/>
          <w:iCs/>
          <w:sz w:val="24"/>
          <w:szCs w:val="24"/>
        </w:rPr>
        <w:t xml:space="preserve"> words)</w:t>
      </w:r>
    </w:p>
    <w:p w14:paraId="6B52BD1B" w14:textId="77777777" w:rsidR="0098362B" w:rsidRPr="004B47AD" w:rsidRDefault="0098362B" w:rsidP="004B47A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35AB057" w14:textId="3252FB3A" w:rsidR="00540382" w:rsidRPr="004B47AD" w:rsidRDefault="0098362B" w:rsidP="004B47AD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4B47AD">
        <w:rPr>
          <w:rFonts w:cstheme="minorHAnsi"/>
          <w:b/>
          <w:sz w:val="28"/>
          <w:szCs w:val="28"/>
        </w:rPr>
        <w:t>What’s next?</w:t>
      </w:r>
      <w:r w:rsidR="00540382" w:rsidRPr="004B47AD">
        <w:rPr>
          <w:rFonts w:cstheme="minorHAnsi"/>
          <w:b/>
          <w:sz w:val="28"/>
          <w:szCs w:val="28"/>
        </w:rPr>
        <w:t xml:space="preserve"> </w:t>
      </w:r>
    </w:p>
    <w:p w14:paraId="33B46237" w14:textId="7A397233" w:rsidR="00540382" w:rsidRDefault="003A4A8D" w:rsidP="004B47AD">
      <w:pPr>
        <w:jc w:val="both"/>
        <w:rPr>
          <w:rFonts w:cstheme="minorHAnsi"/>
          <w:bCs/>
          <w:sz w:val="24"/>
          <w:szCs w:val="24"/>
        </w:rPr>
      </w:pPr>
      <w:r w:rsidRPr="004B47AD">
        <w:rPr>
          <w:rFonts w:cstheme="minorHAnsi"/>
          <w:bCs/>
          <w:sz w:val="24"/>
          <w:szCs w:val="24"/>
        </w:rPr>
        <w:t xml:space="preserve">As more </w:t>
      </w:r>
      <w:r w:rsidR="00061B06" w:rsidRPr="004B47AD">
        <w:rPr>
          <w:rFonts w:cstheme="minorHAnsi"/>
          <w:bCs/>
          <w:sz w:val="24"/>
          <w:szCs w:val="24"/>
        </w:rPr>
        <w:t>children with CF commence modulato</w:t>
      </w:r>
      <w:r w:rsidR="00226BE5" w:rsidRPr="004B47AD">
        <w:rPr>
          <w:rFonts w:cstheme="minorHAnsi"/>
          <w:bCs/>
          <w:sz w:val="24"/>
          <w:szCs w:val="24"/>
        </w:rPr>
        <w:t>r</w:t>
      </w:r>
      <w:r w:rsidR="007F0971" w:rsidRPr="004B47AD">
        <w:rPr>
          <w:rFonts w:cstheme="minorHAnsi"/>
          <w:bCs/>
          <w:sz w:val="24"/>
          <w:szCs w:val="24"/>
        </w:rPr>
        <w:t>s</w:t>
      </w:r>
      <w:r w:rsidR="00061B06" w:rsidRPr="004B47AD">
        <w:rPr>
          <w:rFonts w:cstheme="minorHAnsi"/>
          <w:bCs/>
          <w:sz w:val="24"/>
          <w:szCs w:val="24"/>
        </w:rPr>
        <w:t xml:space="preserve">, it </w:t>
      </w:r>
      <w:r w:rsidR="00226BE5" w:rsidRPr="004B47AD">
        <w:rPr>
          <w:rFonts w:cstheme="minorHAnsi"/>
          <w:bCs/>
          <w:sz w:val="24"/>
          <w:szCs w:val="24"/>
        </w:rPr>
        <w:t>is</w:t>
      </w:r>
      <w:r w:rsidR="00061B06" w:rsidRPr="004B47AD">
        <w:rPr>
          <w:rFonts w:cstheme="minorHAnsi"/>
          <w:bCs/>
          <w:sz w:val="24"/>
          <w:szCs w:val="24"/>
        </w:rPr>
        <w:t xml:space="preserve"> important</w:t>
      </w:r>
      <w:r w:rsidR="007F6E83" w:rsidRPr="004B47AD">
        <w:rPr>
          <w:rFonts w:cstheme="minorHAnsi"/>
          <w:bCs/>
          <w:sz w:val="24"/>
          <w:szCs w:val="24"/>
        </w:rPr>
        <w:t xml:space="preserve"> </w:t>
      </w:r>
      <w:r w:rsidR="00DD3480" w:rsidRPr="004B47AD">
        <w:rPr>
          <w:rFonts w:cstheme="minorHAnsi"/>
          <w:bCs/>
          <w:sz w:val="24"/>
          <w:szCs w:val="24"/>
        </w:rPr>
        <w:t xml:space="preserve">to </w:t>
      </w:r>
      <w:r w:rsidR="002C4EAF" w:rsidRPr="004B47AD">
        <w:rPr>
          <w:rFonts w:cstheme="minorHAnsi"/>
          <w:bCs/>
          <w:sz w:val="24"/>
          <w:szCs w:val="24"/>
        </w:rPr>
        <w:t>understand more about</w:t>
      </w:r>
      <w:r w:rsidR="00DD3480" w:rsidRPr="004B47AD">
        <w:rPr>
          <w:rFonts w:cstheme="minorHAnsi"/>
          <w:bCs/>
          <w:sz w:val="24"/>
          <w:szCs w:val="24"/>
        </w:rPr>
        <w:t xml:space="preserve"> how </w:t>
      </w:r>
      <w:r w:rsidR="00941414" w:rsidRPr="004B47AD">
        <w:rPr>
          <w:rFonts w:cstheme="minorHAnsi"/>
          <w:bCs/>
          <w:sz w:val="24"/>
          <w:szCs w:val="24"/>
        </w:rPr>
        <w:t>this</w:t>
      </w:r>
      <w:r w:rsidR="00DD3480" w:rsidRPr="004B47AD">
        <w:rPr>
          <w:rFonts w:cstheme="minorHAnsi"/>
          <w:bCs/>
          <w:sz w:val="24"/>
          <w:szCs w:val="24"/>
        </w:rPr>
        <w:t xml:space="preserve"> will affect</w:t>
      </w:r>
      <w:r w:rsidR="00406912" w:rsidRPr="004B47AD">
        <w:rPr>
          <w:rFonts w:cstheme="minorHAnsi"/>
          <w:bCs/>
          <w:sz w:val="24"/>
          <w:szCs w:val="24"/>
        </w:rPr>
        <w:t xml:space="preserve"> ABPA development; to see if it leads to changes in the number of patients </w:t>
      </w:r>
      <w:r w:rsidR="00420DB4" w:rsidRPr="004B47AD">
        <w:rPr>
          <w:rFonts w:cstheme="minorHAnsi"/>
          <w:bCs/>
          <w:sz w:val="24"/>
          <w:szCs w:val="24"/>
        </w:rPr>
        <w:t xml:space="preserve">who develop ABPA and if </w:t>
      </w:r>
      <w:r w:rsidR="005F50E3" w:rsidRPr="004B47AD">
        <w:rPr>
          <w:rFonts w:cstheme="minorHAnsi"/>
          <w:bCs/>
          <w:sz w:val="24"/>
          <w:szCs w:val="24"/>
        </w:rPr>
        <w:t xml:space="preserve">there are </w:t>
      </w:r>
      <w:r w:rsidR="00A24B0F" w:rsidRPr="004B47AD">
        <w:rPr>
          <w:rFonts w:cstheme="minorHAnsi"/>
          <w:bCs/>
          <w:sz w:val="24"/>
          <w:szCs w:val="24"/>
        </w:rPr>
        <w:t>similar</w:t>
      </w:r>
      <w:r w:rsidR="00E95908" w:rsidRPr="004B47AD">
        <w:rPr>
          <w:rFonts w:cstheme="minorHAnsi"/>
          <w:bCs/>
          <w:sz w:val="24"/>
          <w:szCs w:val="24"/>
        </w:rPr>
        <w:t xml:space="preserve"> pattern</w:t>
      </w:r>
      <w:r w:rsidR="00D644A5" w:rsidRPr="004B47AD">
        <w:rPr>
          <w:rFonts w:cstheme="minorHAnsi"/>
          <w:bCs/>
          <w:sz w:val="24"/>
          <w:szCs w:val="24"/>
        </w:rPr>
        <w:t>s</w:t>
      </w:r>
      <w:r w:rsidR="005F50E3" w:rsidRPr="004B47AD">
        <w:rPr>
          <w:rFonts w:cstheme="minorHAnsi"/>
          <w:bCs/>
          <w:sz w:val="24"/>
          <w:szCs w:val="24"/>
        </w:rPr>
        <w:t xml:space="preserve"> in blood test results</w:t>
      </w:r>
      <w:r w:rsidR="00E95908" w:rsidRPr="004B47AD">
        <w:rPr>
          <w:rFonts w:cstheme="minorHAnsi"/>
          <w:bCs/>
          <w:sz w:val="24"/>
          <w:szCs w:val="24"/>
        </w:rPr>
        <w:t xml:space="preserve"> as in the pre-modulator era.</w:t>
      </w:r>
      <w:r w:rsidR="007F0971" w:rsidRPr="004B47AD">
        <w:rPr>
          <w:rFonts w:cstheme="minorHAnsi"/>
          <w:bCs/>
          <w:sz w:val="24"/>
          <w:szCs w:val="24"/>
        </w:rPr>
        <w:t xml:space="preserve"> (50</w:t>
      </w:r>
      <w:r w:rsidR="00E02FDF" w:rsidRPr="004B47AD">
        <w:rPr>
          <w:rFonts w:cstheme="minorHAnsi"/>
          <w:bCs/>
          <w:sz w:val="24"/>
          <w:szCs w:val="24"/>
        </w:rPr>
        <w:t xml:space="preserve"> words</w:t>
      </w:r>
      <w:r w:rsidR="007F0971" w:rsidRPr="004B47AD">
        <w:rPr>
          <w:rFonts w:cstheme="minorHAnsi"/>
          <w:bCs/>
          <w:sz w:val="24"/>
          <w:szCs w:val="24"/>
        </w:rPr>
        <w:t>)</w:t>
      </w:r>
    </w:p>
    <w:p w14:paraId="186A6A67" w14:textId="54DEA881" w:rsidR="001F0188" w:rsidRPr="005B79B6" w:rsidRDefault="001A25DD" w:rsidP="005B79B6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2743F5">
        <w:rPr>
          <w:rFonts w:cstheme="minorHAnsi"/>
          <w:b/>
          <w:sz w:val="28"/>
          <w:szCs w:val="28"/>
        </w:rPr>
        <w:t>Original manuscript citation in PubMed</w:t>
      </w:r>
    </w:p>
    <w:p w14:paraId="7BC2575A" w14:textId="63B084DC" w:rsidR="001F0188" w:rsidRPr="004B47AD" w:rsidRDefault="001F0188" w:rsidP="004B47AD">
      <w:pPr>
        <w:jc w:val="both"/>
        <w:rPr>
          <w:rFonts w:cstheme="minorHAnsi"/>
          <w:bCs/>
          <w:sz w:val="24"/>
          <w:szCs w:val="24"/>
        </w:rPr>
      </w:pPr>
      <w:hyperlink r:id="rId10" w:history="1">
        <w:r w:rsidRPr="00C14752">
          <w:rPr>
            <w:rStyle w:val="Hyperlink"/>
            <w:rFonts w:cstheme="minorHAnsi"/>
            <w:bCs/>
            <w:sz w:val="24"/>
            <w:szCs w:val="24"/>
          </w:rPr>
          <w:t>https://pubmed.ncbi.nlm.nih.gov/41577533</w:t>
        </w:r>
        <w:r w:rsidRPr="00C14752">
          <w:rPr>
            <w:rStyle w:val="Hyperlink"/>
            <w:rFonts w:cstheme="minorHAnsi"/>
            <w:bCs/>
            <w:sz w:val="24"/>
            <w:szCs w:val="24"/>
          </w:rPr>
          <w:t>/</w:t>
        </w:r>
      </w:hyperlink>
    </w:p>
    <w:sectPr w:rsidR="001F0188" w:rsidRPr="004B4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C6B12" w14:textId="77777777" w:rsidR="00ED2920" w:rsidRDefault="00ED2920" w:rsidP="008B1278">
      <w:pPr>
        <w:spacing w:after="0" w:line="240" w:lineRule="auto"/>
      </w:pPr>
      <w:r>
        <w:separator/>
      </w:r>
    </w:p>
  </w:endnote>
  <w:endnote w:type="continuationSeparator" w:id="0">
    <w:p w14:paraId="54E315C1" w14:textId="77777777" w:rsidR="00ED2920" w:rsidRDefault="00ED2920" w:rsidP="008B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87E2" w14:textId="77777777" w:rsidR="008B1278" w:rsidRDefault="008B1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ECC9" w14:textId="77777777" w:rsidR="00D36FED" w:rsidRDefault="00717EB1">
    <w:pPr>
      <w:pStyle w:val="Footer"/>
    </w:pPr>
    <w:r>
      <w:rPr>
        <w:rFonts w:ascii="Palatino Linotype" w:hAnsi="Palatino Linotype"/>
        <w:b/>
        <w:sz w:val="40"/>
        <w:szCs w:val="40"/>
      </w:rPr>
      <w:ptab w:relativeTo="margin" w:alignment="right" w:leader="none"/>
    </w:r>
    <w:r w:rsidR="00D36FED">
      <w:rPr>
        <w:rFonts w:ascii="Palatino Linotype" w:hAnsi="Palatino Linotype"/>
        <w:b/>
        <w:sz w:val="40"/>
        <w:szCs w:val="40"/>
      </w:rPr>
      <w:ptab w:relativeTo="margin" w:alignment="center" w:leader="none"/>
    </w:r>
    <w:r w:rsidRPr="00717EB1">
      <w:rPr>
        <w:rFonts w:ascii="Palatino Linotype" w:hAnsi="Palatino Linotype"/>
        <w:b/>
        <w:sz w:val="40"/>
        <w:szCs w:val="40"/>
      </w:rPr>
      <w:t>Cystic Fibrosis Research News</w:t>
    </w:r>
    <w:r>
      <w:t xml:space="preserve">  </w:t>
    </w:r>
  </w:p>
  <w:p w14:paraId="44CFC92A" w14:textId="77777777" w:rsidR="00717EB1" w:rsidRDefault="00D36FED">
    <w:pPr>
      <w:pStyle w:val="Footer"/>
    </w:pPr>
    <w:r>
      <w:ptab w:relativeTo="margin" w:alignment="center" w:leader="none"/>
    </w:r>
    <w:hyperlink r:id="rId1" w:history="1">
      <w:r w:rsidR="00717EB1" w:rsidRPr="0085653A">
        <w:rPr>
          <w:rStyle w:val="Hyperlink"/>
        </w:rPr>
        <w:t>cfresearchnews@gmail.com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774F" w14:textId="77777777" w:rsidR="008B1278" w:rsidRDefault="008B1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D1A17" w14:textId="77777777" w:rsidR="00ED2920" w:rsidRDefault="00ED2920" w:rsidP="008B1278">
      <w:pPr>
        <w:spacing w:after="0" w:line="240" w:lineRule="auto"/>
      </w:pPr>
      <w:r>
        <w:separator/>
      </w:r>
    </w:p>
  </w:footnote>
  <w:footnote w:type="continuationSeparator" w:id="0">
    <w:p w14:paraId="5538FA9F" w14:textId="77777777" w:rsidR="00ED2920" w:rsidRDefault="00ED2920" w:rsidP="008B1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28BA" w14:textId="77777777" w:rsidR="008B1278" w:rsidRDefault="008B1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8542" w14:textId="77777777" w:rsidR="008B1278" w:rsidRDefault="008B1278">
    <w:pPr>
      <w:pStyle w:val="Header"/>
    </w:pPr>
    <w:r>
      <w:t xml:space="preserve"> </w:t>
    </w:r>
    <w:r>
      <w:rPr>
        <w:noProof/>
        <w:lang w:eastAsia="en-AU"/>
      </w:rPr>
      <w:drawing>
        <wp:inline distT="0" distB="0" distL="0" distR="0" wp14:anchorId="3761F59D" wp14:editId="441865FF">
          <wp:extent cx="2237426" cy="99983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c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426" cy="99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en-AU"/>
      </w:rPr>
      <w:drawing>
        <wp:inline distT="0" distB="0" distL="0" distR="0" wp14:anchorId="770DB8EE" wp14:editId="647C85BC">
          <wp:extent cx="2695575" cy="97899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f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563" cy="983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5F201F" w14:textId="77777777" w:rsidR="008B1278" w:rsidRDefault="008B1278">
    <w:pPr>
      <w:pStyle w:val="Header"/>
    </w:pPr>
  </w:p>
  <w:p w14:paraId="3D603BB9" w14:textId="77777777" w:rsidR="008B1278" w:rsidRDefault="008B1278">
    <w:pPr>
      <w:pStyle w:val="Header"/>
    </w:pPr>
  </w:p>
  <w:p w14:paraId="2FE008B7" w14:textId="77777777" w:rsidR="008B1278" w:rsidRPr="00717EB1" w:rsidRDefault="00717EB1" w:rsidP="00717EB1">
    <w:pPr>
      <w:pStyle w:val="Header"/>
      <w:jc w:val="center"/>
      <w:rPr>
        <w:rFonts w:ascii="Palatino Linotype" w:hAnsi="Palatino Linotype"/>
        <w:b/>
        <w:sz w:val="56"/>
        <w:szCs w:val="56"/>
      </w:rPr>
    </w:pPr>
    <w:r w:rsidRPr="00717EB1">
      <w:rPr>
        <w:rFonts w:ascii="Palatino Linotype" w:hAnsi="Palatino Linotype"/>
        <w:b/>
        <w:sz w:val="56"/>
        <w:szCs w:val="56"/>
      </w:rPr>
      <w:t>Cystic Fibrosis Research News</w:t>
    </w:r>
  </w:p>
  <w:p w14:paraId="40BB2C86" w14:textId="77777777" w:rsidR="008B1278" w:rsidRDefault="008B12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11FB" w14:textId="77777777" w:rsidR="008B1278" w:rsidRDefault="008B12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82"/>
    <w:rsid w:val="0004106F"/>
    <w:rsid w:val="00042247"/>
    <w:rsid w:val="00047334"/>
    <w:rsid w:val="000603F9"/>
    <w:rsid w:val="00061B06"/>
    <w:rsid w:val="00076DAD"/>
    <w:rsid w:val="000B740B"/>
    <w:rsid w:val="000E45B7"/>
    <w:rsid w:val="000F5CBC"/>
    <w:rsid w:val="000F65DC"/>
    <w:rsid w:val="00120FE6"/>
    <w:rsid w:val="001214F6"/>
    <w:rsid w:val="001437FC"/>
    <w:rsid w:val="00152FF9"/>
    <w:rsid w:val="00156404"/>
    <w:rsid w:val="00163D52"/>
    <w:rsid w:val="00193145"/>
    <w:rsid w:val="00197947"/>
    <w:rsid w:val="001A25DD"/>
    <w:rsid w:val="001C53C0"/>
    <w:rsid w:val="001F0188"/>
    <w:rsid w:val="002071B5"/>
    <w:rsid w:val="00225C6E"/>
    <w:rsid w:val="00226BE5"/>
    <w:rsid w:val="00257E89"/>
    <w:rsid w:val="00260D1C"/>
    <w:rsid w:val="002743F5"/>
    <w:rsid w:val="00275FAC"/>
    <w:rsid w:val="00280DB6"/>
    <w:rsid w:val="002A2BC2"/>
    <w:rsid w:val="002A6F21"/>
    <w:rsid w:val="002B20BF"/>
    <w:rsid w:val="002C4EAF"/>
    <w:rsid w:val="0030517A"/>
    <w:rsid w:val="00316AE7"/>
    <w:rsid w:val="00344FEB"/>
    <w:rsid w:val="003728E8"/>
    <w:rsid w:val="00395BB4"/>
    <w:rsid w:val="003A4A8D"/>
    <w:rsid w:val="003A670C"/>
    <w:rsid w:val="00406912"/>
    <w:rsid w:val="00420DB4"/>
    <w:rsid w:val="004259FD"/>
    <w:rsid w:val="00437445"/>
    <w:rsid w:val="00442836"/>
    <w:rsid w:val="00487DF3"/>
    <w:rsid w:val="00491831"/>
    <w:rsid w:val="0049290B"/>
    <w:rsid w:val="004B47AD"/>
    <w:rsid w:val="004C1672"/>
    <w:rsid w:val="004C47CA"/>
    <w:rsid w:val="004D3380"/>
    <w:rsid w:val="004D457C"/>
    <w:rsid w:val="00502AAA"/>
    <w:rsid w:val="00540382"/>
    <w:rsid w:val="00542DA7"/>
    <w:rsid w:val="0054547B"/>
    <w:rsid w:val="0055052A"/>
    <w:rsid w:val="005509FA"/>
    <w:rsid w:val="00557EFA"/>
    <w:rsid w:val="00563A5C"/>
    <w:rsid w:val="00591875"/>
    <w:rsid w:val="005B79B6"/>
    <w:rsid w:val="005E0D00"/>
    <w:rsid w:val="005F50E3"/>
    <w:rsid w:val="005F75C1"/>
    <w:rsid w:val="006048F0"/>
    <w:rsid w:val="00620F76"/>
    <w:rsid w:val="0062588C"/>
    <w:rsid w:val="00651AB2"/>
    <w:rsid w:val="00655C23"/>
    <w:rsid w:val="006630CA"/>
    <w:rsid w:val="00694BE2"/>
    <w:rsid w:val="006A6E4A"/>
    <w:rsid w:val="006A7976"/>
    <w:rsid w:val="006D1621"/>
    <w:rsid w:val="007073B1"/>
    <w:rsid w:val="00711774"/>
    <w:rsid w:val="00717EB1"/>
    <w:rsid w:val="00724B11"/>
    <w:rsid w:val="00755822"/>
    <w:rsid w:val="00784BFE"/>
    <w:rsid w:val="007B4431"/>
    <w:rsid w:val="007C084D"/>
    <w:rsid w:val="007C34C3"/>
    <w:rsid w:val="007F0971"/>
    <w:rsid w:val="007F557C"/>
    <w:rsid w:val="007F6E83"/>
    <w:rsid w:val="008006FA"/>
    <w:rsid w:val="00822DFC"/>
    <w:rsid w:val="00850FB1"/>
    <w:rsid w:val="008532D8"/>
    <w:rsid w:val="00866B94"/>
    <w:rsid w:val="00871B04"/>
    <w:rsid w:val="00882769"/>
    <w:rsid w:val="008A5B1C"/>
    <w:rsid w:val="008B059A"/>
    <w:rsid w:val="008B1278"/>
    <w:rsid w:val="008C3AA3"/>
    <w:rsid w:val="008C430B"/>
    <w:rsid w:val="008D536C"/>
    <w:rsid w:val="008D72B3"/>
    <w:rsid w:val="008E1B26"/>
    <w:rsid w:val="008E20F2"/>
    <w:rsid w:val="00922BB0"/>
    <w:rsid w:val="00941414"/>
    <w:rsid w:val="0095661F"/>
    <w:rsid w:val="0097041F"/>
    <w:rsid w:val="0098362B"/>
    <w:rsid w:val="009D210E"/>
    <w:rsid w:val="00A24B0F"/>
    <w:rsid w:val="00A61E91"/>
    <w:rsid w:val="00A72792"/>
    <w:rsid w:val="00A874B0"/>
    <w:rsid w:val="00AB0013"/>
    <w:rsid w:val="00AB02F0"/>
    <w:rsid w:val="00AC694B"/>
    <w:rsid w:val="00B1394A"/>
    <w:rsid w:val="00B33E72"/>
    <w:rsid w:val="00B5219B"/>
    <w:rsid w:val="00B616FF"/>
    <w:rsid w:val="00B74FAB"/>
    <w:rsid w:val="00BA6A49"/>
    <w:rsid w:val="00BE051C"/>
    <w:rsid w:val="00BE1EF6"/>
    <w:rsid w:val="00C00870"/>
    <w:rsid w:val="00C15879"/>
    <w:rsid w:val="00C167CD"/>
    <w:rsid w:val="00C35506"/>
    <w:rsid w:val="00C42BA9"/>
    <w:rsid w:val="00C473ED"/>
    <w:rsid w:val="00C75BB4"/>
    <w:rsid w:val="00CA2301"/>
    <w:rsid w:val="00CB544F"/>
    <w:rsid w:val="00CC58D1"/>
    <w:rsid w:val="00CD2D2F"/>
    <w:rsid w:val="00CF30A7"/>
    <w:rsid w:val="00CF7EBF"/>
    <w:rsid w:val="00D05EA7"/>
    <w:rsid w:val="00D36FED"/>
    <w:rsid w:val="00D513F5"/>
    <w:rsid w:val="00D644A5"/>
    <w:rsid w:val="00D87B1A"/>
    <w:rsid w:val="00D90BD1"/>
    <w:rsid w:val="00D95ACF"/>
    <w:rsid w:val="00DB07A8"/>
    <w:rsid w:val="00DB34DA"/>
    <w:rsid w:val="00DD0086"/>
    <w:rsid w:val="00DD249C"/>
    <w:rsid w:val="00DD3480"/>
    <w:rsid w:val="00DF38F6"/>
    <w:rsid w:val="00E02FDF"/>
    <w:rsid w:val="00E10C18"/>
    <w:rsid w:val="00E10E89"/>
    <w:rsid w:val="00E13781"/>
    <w:rsid w:val="00E36944"/>
    <w:rsid w:val="00E465AE"/>
    <w:rsid w:val="00E56151"/>
    <w:rsid w:val="00E64EFE"/>
    <w:rsid w:val="00E7244B"/>
    <w:rsid w:val="00E81417"/>
    <w:rsid w:val="00E842DD"/>
    <w:rsid w:val="00E95908"/>
    <w:rsid w:val="00EA12AB"/>
    <w:rsid w:val="00ED2920"/>
    <w:rsid w:val="00EE01B1"/>
    <w:rsid w:val="00F00E29"/>
    <w:rsid w:val="00F20183"/>
    <w:rsid w:val="00F53AC9"/>
    <w:rsid w:val="00FA3989"/>
    <w:rsid w:val="00FB1F7F"/>
    <w:rsid w:val="00FC054D"/>
    <w:rsid w:val="00FE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2B9BDF"/>
  <w15:docId w15:val="{ECC78DC4-3791-42EF-8DC1-7501B3BB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278"/>
  </w:style>
  <w:style w:type="paragraph" w:styleId="Footer">
    <w:name w:val="footer"/>
    <w:basedOn w:val="Normal"/>
    <w:link w:val="FooterChar"/>
    <w:uiPriority w:val="99"/>
    <w:unhideWhenUsed/>
    <w:rsid w:val="008B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278"/>
  </w:style>
  <w:style w:type="paragraph" w:styleId="BalloonText">
    <w:name w:val="Balloon Text"/>
    <w:basedOn w:val="Normal"/>
    <w:link w:val="BalloonTextChar"/>
    <w:uiPriority w:val="99"/>
    <w:semiHidden/>
    <w:unhideWhenUsed/>
    <w:rsid w:val="008B1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7EB1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3694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694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3694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F0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pubmed.ncbi.nlm.nih.gov/41577533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fresearchnews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F%20RESEARCH%20NEWS\emails%20and%20proforma%20for%20authors\letterhead_ques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ca9d15-ec26-4483-a5fa-2f5413ebbe36" xsi:nil="true"/>
    <lcf76f155ced4ddcb4097134ff3c332f xmlns="9139c953-b1ed-4a1b-a7ed-d87dbacc658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462A6F2766428A83CED44477B780" ma:contentTypeVersion="19" ma:contentTypeDescription="Create a new document." ma:contentTypeScope="" ma:versionID="c860dbc23217f3ef3555257ebb5ec84b">
  <xsd:schema xmlns:xsd="http://www.w3.org/2001/XMLSchema" xmlns:xs="http://www.w3.org/2001/XMLSchema" xmlns:p="http://schemas.microsoft.com/office/2006/metadata/properties" xmlns:ns2="30ca9d15-ec26-4483-a5fa-2f5413ebbe36" xmlns:ns3="9139c953-b1ed-4a1b-a7ed-d87dbacc6580" targetNamespace="http://schemas.microsoft.com/office/2006/metadata/properties" ma:root="true" ma:fieldsID="c18bba2fef5bc55edb88d5a8703c8779" ns2:_="" ns3:_="">
    <xsd:import namespace="30ca9d15-ec26-4483-a5fa-2f5413ebbe36"/>
    <xsd:import namespace="9139c953-b1ed-4a1b-a7ed-d87dbacc65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a9d15-ec26-4483-a5fa-2f5413ebbe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eae614-c3a3-4231-b677-37c9fe7989a8}" ma:internalName="TaxCatchAll" ma:showField="CatchAllData" ma:web="30ca9d15-ec26-4483-a5fa-2f5413ebb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c953-b1ed-4a1b-a7ed-d87dbacc6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f6ed00-d9a1-47fc-bde2-86e6be99b9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68C0E-B83F-4642-AB4B-4F2A6808A3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377779-18DD-4737-A089-0501CA37C25E}">
  <ds:schemaRefs>
    <ds:schemaRef ds:uri="http://schemas.microsoft.com/office/2006/metadata/properties"/>
    <ds:schemaRef ds:uri="http://schemas.microsoft.com/office/infopath/2007/PartnerControls"/>
    <ds:schemaRef ds:uri="30ca9d15-ec26-4483-a5fa-2f5413ebbe36"/>
    <ds:schemaRef ds:uri="9139c953-b1ed-4a1b-a7ed-d87dbacc6580"/>
  </ds:schemaRefs>
</ds:datastoreItem>
</file>

<file path=customXml/itemProps3.xml><?xml version="1.0" encoding="utf-8"?>
<ds:datastoreItem xmlns:ds="http://schemas.openxmlformats.org/officeDocument/2006/customXml" ds:itemID="{B48A40B9-2150-4658-B1DC-500D25103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a9d15-ec26-4483-a5fa-2f5413ebbe36"/>
    <ds:schemaRef ds:uri="9139c953-b1ed-4a1b-a7ed-d87dbacc6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DE7479-E121-45C8-8545-49C440353C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letterhead_questions</Template>
  <TotalTime>9</TotalTime>
  <Pages>2</Pages>
  <Words>685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QIMR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CFRN</dc:creator>
  <cp:lastModifiedBy>Oxana Igonchenkova</cp:lastModifiedBy>
  <cp:revision>8</cp:revision>
  <dcterms:created xsi:type="dcterms:W3CDTF">2026-04-08T08:19:00Z</dcterms:created>
  <dcterms:modified xsi:type="dcterms:W3CDTF">2026-04-29T16:56:00Z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0x0101006C64462A6F2766428A83CED44477B780</vt:lpwstr>
  </property>
  <property fmtid="{D5CDD505-2E9C-101B-9397-08002B2CF9AE}" pid="3" name="MediaServiceImageTags">
    <vt:lpwstr/>
  </property>
</Properties>
</file>