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76D3" w14:textId="371AB804" w:rsidR="008F74EC" w:rsidRPr="00052D99" w:rsidRDefault="0098362B" w:rsidP="00052D99">
      <w:pPr>
        <w:spacing w:after="0" w:line="240" w:lineRule="auto"/>
        <w:jc w:val="both"/>
        <w:rPr>
          <w:bCs/>
          <w:sz w:val="24"/>
          <w:szCs w:val="24"/>
          <w:lang w:val="en-IE"/>
        </w:rPr>
      </w:pPr>
      <w:r w:rsidRPr="00052D99">
        <w:rPr>
          <w:b/>
          <w:sz w:val="28"/>
          <w:szCs w:val="28"/>
        </w:rPr>
        <w:t>Title:</w:t>
      </w:r>
      <w:r w:rsidR="008F74EC" w:rsidRPr="00052D99">
        <w:rPr>
          <w:bCs/>
          <w:sz w:val="24"/>
          <w:szCs w:val="24"/>
        </w:rPr>
        <w:t xml:space="preserve"> </w:t>
      </w:r>
      <w:r w:rsidR="008F74EC" w:rsidRPr="00052D99">
        <w:rPr>
          <w:sz w:val="24"/>
          <w:szCs w:val="24"/>
          <w:lang w:val="en-IE"/>
        </w:rPr>
        <w:t>Changes to serum lipids, BMI and body composition in adults with cystic fibrosis on Elexacaftor/Tezacaftor/Ivacaftor (ETI): A scoping review</w:t>
      </w:r>
    </w:p>
    <w:p w14:paraId="242577E5" w14:textId="4C755EC3" w:rsidR="006A7976" w:rsidRPr="00052D99" w:rsidRDefault="006A7976" w:rsidP="00052D99">
      <w:pPr>
        <w:spacing w:after="0" w:line="240" w:lineRule="auto"/>
        <w:jc w:val="both"/>
        <w:rPr>
          <w:b/>
          <w:sz w:val="24"/>
          <w:szCs w:val="24"/>
        </w:rPr>
      </w:pPr>
    </w:p>
    <w:p w14:paraId="4DC13F1F" w14:textId="7DC19C72" w:rsidR="006A7976" w:rsidRPr="00052D99" w:rsidRDefault="006A7976" w:rsidP="00052D99">
      <w:pPr>
        <w:spacing w:after="0" w:line="240" w:lineRule="auto"/>
        <w:jc w:val="both"/>
        <w:rPr>
          <w:b/>
          <w:sz w:val="24"/>
          <w:szCs w:val="24"/>
        </w:rPr>
      </w:pPr>
      <w:r w:rsidRPr="00052D99">
        <w:rPr>
          <w:b/>
          <w:sz w:val="28"/>
          <w:szCs w:val="28"/>
        </w:rPr>
        <w:t>Lay Title:</w:t>
      </w:r>
      <w:r w:rsidR="008F74EC" w:rsidRPr="00052D99">
        <w:rPr>
          <w:b/>
          <w:sz w:val="24"/>
          <w:szCs w:val="24"/>
        </w:rPr>
        <w:t xml:space="preserve"> </w:t>
      </w:r>
      <w:r w:rsidR="008F74EC" w:rsidRPr="00052D99">
        <w:rPr>
          <w:bCs/>
          <w:sz w:val="24"/>
          <w:szCs w:val="24"/>
        </w:rPr>
        <w:t>Changes in Body Weight and Cholesterol After Starting ETI: A Scoping Review</w:t>
      </w:r>
    </w:p>
    <w:p w14:paraId="2C518F27" w14:textId="77777777" w:rsidR="0098362B" w:rsidRPr="00052D99" w:rsidRDefault="0098362B" w:rsidP="00052D99">
      <w:pPr>
        <w:spacing w:after="0" w:line="240" w:lineRule="auto"/>
        <w:jc w:val="both"/>
        <w:rPr>
          <w:b/>
          <w:sz w:val="24"/>
          <w:szCs w:val="24"/>
        </w:rPr>
      </w:pPr>
    </w:p>
    <w:p w14:paraId="4FED8875" w14:textId="043D5B37" w:rsidR="0098362B" w:rsidRPr="00052D99" w:rsidRDefault="0098362B" w:rsidP="00052D99">
      <w:pPr>
        <w:spacing w:after="0" w:line="240" w:lineRule="auto"/>
        <w:jc w:val="both"/>
        <w:rPr>
          <w:b/>
          <w:sz w:val="24"/>
          <w:szCs w:val="24"/>
        </w:rPr>
      </w:pPr>
      <w:r w:rsidRPr="00052D99">
        <w:rPr>
          <w:b/>
          <w:sz w:val="28"/>
          <w:szCs w:val="28"/>
        </w:rPr>
        <w:t>Authors:</w:t>
      </w:r>
      <w:r w:rsidR="008F74EC" w:rsidRPr="00052D99">
        <w:rPr>
          <w:b/>
          <w:sz w:val="24"/>
          <w:szCs w:val="24"/>
        </w:rPr>
        <w:t xml:space="preserve"> </w:t>
      </w:r>
      <w:r w:rsidR="008F74EC" w:rsidRPr="00052D99">
        <w:rPr>
          <w:bCs/>
          <w:sz w:val="24"/>
          <w:szCs w:val="24"/>
        </w:rPr>
        <w:t>Anna Walsh, Clodagh Landers, Niamh Lucey, Oonagh Griffin, Suzanne Carter, Clare Corish</w:t>
      </w:r>
    </w:p>
    <w:p w14:paraId="6698E0AB" w14:textId="77777777" w:rsidR="0098362B" w:rsidRPr="00052D99" w:rsidRDefault="0098362B" w:rsidP="00052D99">
      <w:pPr>
        <w:spacing w:after="0" w:line="240" w:lineRule="auto"/>
        <w:jc w:val="both"/>
        <w:rPr>
          <w:b/>
          <w:sz w:val="24"/>
          <w:szCs w:val="24"/>
        </w:rPr>
      </w:pPr>
    </w:p>
    <w:p w14:paraId="0002F4CB" w14:textId="77777777" w:rsidR="008F74EC" w:rsidRPr="00052D99" w:rsidRDefault="0098362B" w:rsidP="00052D99">
      <w:pPr>
        <w:spacing w:after="0" w:line="240" w:lineRule="auto"/>
        <w:jc w:val="both"/>
        <w:rPr>
          <w:bCs/>
          <w:sz w:val="28"/>
          <w:szCs w:val="28"/>
        </w:rPr>
      </w:pPr>
      <w:r w:rsidRPr="00052D99">
        <w:rPr>
          <w:b/>
          <w:sz w:val="28"/>
          <w:szCs w:val="28"/>
        </w:rPr>
        <w:t>Affi</w:t>
      </w:r>
      <w:r w:rsidR="008F74EC" w:rsidRPr="00052D99">
        <w:rPr>
          <w:b/>
          <w:sz w:val="28"/>
          <w:szCs w:val="28"/>
        </w:rPr>
        <w:t>l</w:t>
      </w:r>
      <w:r w:rsidRPr="00052D99">
        <w:rPr>
          <w:b/>
          <w:sz w:val="28"/>
          <w:szCs w:val="28"/>
        </w:rPr>
        <w:t>iations</w:t>
      </w:r>
      <w:r w:rsidRPr="00052D99">
        <w:rPr>
          <w:bCs/>
          <w:sz w:val="28"/>
          <w:szCs w:val="28"/>
        </w:rPr>
        <w:t>:</w:t>
      </w:r>
      <w:r w:rsidR="008F74EC" w:rsidRPr="00052D99">
        <w:rPr>
          <w:bCs/>
          <w:sz w:val="28"/>
          <w:szCs w:val="28"/>
        </w:rPr>
        <w:t xml:space="preserve"> </w:t>
      </w:r>
    </w:p>
    <w:p w14:paraId="5ACC51F3" w14:textId="16F2E9E0" w:rsidR="008F74EC" w:rsidRPr="00052D99" w:rsidRDefault="008F74EC" w:rsidP="00052D99">
      <w:pPr>
        <w:pStyle w:val="ListParagraph"/>
        <w:numPr>
          <w:ilvl w:val="0"/>
          <w:numId w:val="1"/>
        </w:numPr>
        <w:spacing w:after="0" w:line="240" w:lineRule="auto"/>
        <w:jc w:val="both"/>
        <w:rPr>
          <w:bCs/>
          <w:sz w:val="24"/>
          <w:szCs w:val="24"/>
        </w:rPr>
      </w:pPr>
      <w:r w:rsidRPr="00052D99">
        <w:rPr>
          <w:bCs/>
          <w:sz w:val="24"/>
          <w:szCs w:val="24"/>
        </w:rPr>
        <w:t xml:space="preserve">UCD School of Public Health, Physiotherapy and Sports Science, University College Dublin, </w:t>
      </w:r>
    </w:p>
    <w:p w14:paraId="5E055509" w14:textId="77777777" w:rsidR="008F74EC" w:rsidRPr="00052D99" w:rsidRDefault="008F74EC" w:rsidP="00052D99">
      <w:pPr>
        <w:pStyle w:val="ListParagraph"/>
        <w:numPr>
          <w:ilvl w:val="0"/>
          <w:numId w:val="1"/>
        </w:numPr>
        <w:spacing w:after="0" w:line="240" w:lineRule="auto"/>
        <w:jc w:val="both"/>
        <w:rPr>
          <w:bCs/>
          <w:sz w:val="24"/>
          <w:szCs w:val="24"/>
        </w:rPr>
      </w:pPr>
      <w:r w:rsidRPr="00052D99">
        <w:rPr>
          <w:bCs/>
          <w:sz w:val="24"/>
          <w:szCs w:val="24"/>
        </w:rPr>
        <w:t xml:space="preserve">Dept of Nutrition and Dietetics, St Vincent’s University Hospital, Dublin, Ireland, </w:t>
      </w:r>
    </w:p>
    <w:p w14:paraId="64D33DB3" w14:textId="77777777" w:rsidR="008F74EC" w:rsidRPr="00052D99" w:rsidRDefault="008F74EC" w:rsidP="00052D99">
      <w:pPr>
        <w:pStyle w:val="ListParagraph"/>
        <w:numPr>
          <w:ilvl w:val="0"/>
          <w:numId w:val="1"/>
        </w:numPr>
        <w:spacing w:after="0" w:line="240" w:lineRule="auto"/>
        <w:jc w:val="both"/>
        <w:rPr>
          <w:bCs/>
          <w:sz w:val="24"/>
          <w:szCs w:val="24"/>
          <w:lang w:val="en-IE"/>
        </w:rPr>
      </w:pPr>
      <w:r w:rsidRPr="00052D99">
        <w:rPr>
          <w:bCs/>
          <w:sz w:val="24"/>
          <w:szCs w:val="24"/>
          <w:lang w:val="en-IE"/>
        </w:rPr>
        <w:t xml:space="preserve">Library and Information Services, St Vincent’s University Hospital, Dublin, Ireland, </w:t>
      </w:r>
    </w:p>
    <w:p w14:paraId="2352C354" w14:textId="1D085C8D" w:rsidR="008F74EC" w:rsidRPr="00052D99" w:rsidRDefault="008F74EC" w:rsidP="00052D99">
      <w:pPr>
        <w:pStyle w:val="ListParagraph"/>
        <w:numPr>
          <w:ilvl w:val="0"/>
          <w:numId w:val="1"/>
        </w:numPr>
        <w:spacing w:after="0" w:line="240" w:lineRule="auto"/>
        <w:jc w:val="both"/>
        <w:rPr>
          <w:bCs/>
          <w:sz w:val="24"/>
          <w:szCs w:val="24"/>
          <w:lang w:val="en-IE"/>
        </w:rPr>
      </w:pPr>
      <w:r w:rsidRPr="00052D99">
        <w:rPr>
          <w:bCs/>
          <w:sz w:val="24"/>
          <w:szCs w:val="24"/>
        </w:rPr>
        <w:t>National Referral Centre for Adult Cystic Fibrosis</w:t>
      </w:r>
    </w:p>
    <w:p w14:paraId="11EFFD1B" w14:textId="391C317A" w:rsidR="0098362B" w:rsidRPr="00052D99" w:rsidRDefault="0098362B" w:rsidP="00052D99">
      <w:pPr>
        <w:spacing w:after="0" w:line="240" w:lineRule="auto"/>
        <w:jc w:val="both"/>
        <w:rPr>
          <w:b/>
          <w:sz w:val="24"/>
          <w:szCs w:val="24"/>
        </w:rPr>
      </w:pPr>
    </w:p>
    <w:p w14:paraId="3ECDA763" w14:textId="77777777" w:rsidR="0098362B" w:rsidRPr="00052D99" w:rsidRDefault="0098362B" w:rsidP="00052D99">
      <w:pPr>
        <w:spacing w:after="0" w:line="240" w:lineRule="auto"/>
        <w:jc w:val="both"/>
        <w:rPr>
          <w:b/>
          <w:sz w:val="24"/>
          <w:szCs w:val="24"/>
        </w:rPr>
      </w:pPr>
    </w:p>
    <w:p w14:paraId="729B4BBE" w14:textId="60EDA943" w:rsidR="0098362B" w:rsidRPr="00052D99" w:rsidRDefault="0098362B" w:rsidP="00052D99">
      <w:pPr>
        <w:spacing w:after="0" w:line="240" w:lineRule="auto"/>
        <w:jc w:val="both"/>
        <w:rPr>
          <w:b/>
          <w:i/>
          <w:sz w:val="28"/>
          <w:szCs w:val="28"/>
        </w:rPr>
      </w:pPr>
      <w:r w:rsidRPr="00052D99">
        <w:rPr>
          <w:b/>
          <w:sz w:val="28"/>
          <w:szCs w:val="28"/>
        </w:rPr>
        <w:t>What was your research question?</w:t>
      </w:r>
      <w:r w:rsidR="00540382" w:rsidRPr="00052D99">
        <w:rPr>
          <w:b/>
          <w:sz w:val="28"/>
          <w:szCs w:val="28"/>
        </w:rPr>
        <w:t xml:space="preserve"> </w:t>
      </w:r>
    </w:p>
    <w:p w14:paraId="61FFAB64" w14:textId="637106A4" w:rsidR="008F74EC" w:rsidRPr="00052D99" w:rsidRDefault="008F74EC" w:rsidP="00052D99">
      <w:pPr>
        <w:spacing w:after="0" w:line="240" w:lineRule="auto"/>
        <w:jc w:val="both"/>
        <w:rPr>
          <w:bCs/>
          <w:sz w:val="24"/>
          <w:szCs w:val="24"/>
        </w:rPr>
      </w:pPr>
      <w:r w:rsidRPr="00052D99">
        <w:rPr>
          <w:bCs/>
          <w:sz w:val="24"/>
          <w:szCs w:val="24"/>
        </w:rPr>
        <w:t>How does starting ETI therapy affect body weight, body composition, and cholesterol levels in adults with cystic fibrosis?</w:t>
      </w:r>
    </w:p>
    <w:p w14:paraId="4AB59C81" w14:textId="77777777" w:rsidR="0098362B" w:rsidRPr="00052D99" w:rsidRDefault="0098362B" w:rsidP="00052D99">
      <w:pPr>
        <w:spacing w:after="0" w:line="240" w:lineRule="auto"/>
        <w:jc w:val="both"/>
        <w:rPr>
          <w:b/>
          <w:sz w:val="24"/>
          <w:szCs w:val="24"/>
        </w:rPr>
      </w:pPr>
    </w:p>
    <w:p w14:paraId="22D21517" w14:textId="188348CF" w:rsidR="00540382" w:rsidRPr="00052D99" w:rsidRDefault="0098362B" w:rsidP="00052D99">
      <w:pPr>
        <w:spacing w:after="0" w:line="240" w:lineRule="auto"/>
        <w:jc w:val="both"/>
        <w:rPr>
          <w:b/>
          <w:i/>
          <w:sz w:val="28"/>
          <w:szCs w:val="28"/>
        </w:rPr>
      </w:pPr>
      <w:r w:rsidRPr="00052D99">
        <w:rPr>
          <w:b/>
          <w:sz w:val="28"/>
          <w:szCs w:val="28"/>
        </w:rPr>
        <w:t>Why is this important?</w:t>
      </w:r>
      <w:r w:rsidR="00540382" w:rsidRPr="00052D99">
        <w:rPr>
          <w:b/>
          <w:sz w:val="28"/>
          <w:szCs w:val="28"/>
        </w:rPr>
        <w:t xml:space="preserve"> </w:t>
      </w:r>
    </w:p>
    <w:p w14:paraId="20778F09" w14:textId="696E61A0" w:rsidR="008F74EC" w:rsidRPr="00052D99" w:rsidRDefault="008F74EC" w:rsidP="00052D99">
      <w:pPr>
        <w:spacing w:after="0" w:line="240" w:lineRule="auto"/>
        <w:jc w:val="both"/>
        <w:rPr>
          <w:bCs/>
          <w:sz w:val="24"/>
          <w:szCs w:val="24"/>
        </w:rPr>
      </w:pPr>
      <w:r w:rsidRPr="00052D99">
        <w:rPr>
          <w:bCs/>
          <w:sz w:val="24"/>
          <w:szCs w:val="24"/>
        </w:rPr>
        <w:t>ETI is a highly effective treatment that improves health and life expectancy in people with cystic fibrosis. It reduces inflammation, improves digestion, and lowers energy needs. However, many people continue high-calorie diets, which may lead to weight gain and changes in cholesterol. Understanding these changes is important to support long-term health, especially as people with cystic fibrosis are now living longer.</w:t>
      </w:r>
    </w:p>
    <w:p w14:paraId="5B08D8BD" w14:textId="77777777" w:rsidR="0098362B" w:rsidRPr="00052D99" w:rsidRDefault="0098362B" w:rsidP="00052D99">
      <w:pPr>
        <w:spacing w:after="0" w:line="240" w:lineRule="auto"/>
        <w:jc w:val="both"/>
        <w:rPr>
          <w:b/>
          <w:sz w:val="24"/>
          <w:szCs w:val="24"/>
        </w:rPr>
      </w:pPr>
    </w:p>
    <w:p w14:paraId="71BF3942" w14:textId="7F8CDC07" w:rsidR="00540382" w:rsidRPr="00052D99" w:rsidRDefault="0098362B" w:rsidP="00052D99">
      <w:pPr>
        <w:spacing w:after="0" w:line="240" w:lineRule="auto"/>
        <w:jc w:val="both"/>
        <w:rPr>
          <w:b/>
          <w:i/>
          <w:sz w:val="28"/>
          <w:szCs w:val="28"/>
        </w:rPr>
      </w:pPr>
      <w:r w:rsidRPr="00052D99">
        <w:rPr>
          <w:b/>
          <w:sz w:val="28"/>
          <w:szCs w:val="28"/>
        </w:rPr>
        <w:t>What did you do?</w:t>
      </w:r>
      <w:r w:rsidR="00540382" w:rsidRPr="00052D99">
        <w:rPr>
          <w:b/>
          <w:sz w:val="28"/>
          <w:szCs w:val="28"/>
        </w:rPr>
        <w:t xml:space="preserve"> </w:t>
      </w:r>
    </w:p>
    <w:p w14:paraId="2F74D988" w14:textId="03795692" w:rsidR="008F74EC" w:rsidRPr="00052D99" w:rsidRDefault="008F74EC" w:rsidP="00052D99">
      <w:pPr>
        <w:spacing w:after="0" w:line="240" w:lineRule="auto"/>
        <w:jc w:val="both"/>
        <w:rPr>
          <w:bCs/>
          <w:iCs/>
          <w:sz w:val="24"/>
          <w:szCs w:val="24"/>
        </w:rPr>
      </w:pPr>
      <w:r w:rsidRPr="00052D99">
        <w:rPr>
          <w:bCs/>
          <w:iCs/>
          <w:sz w:val="24"/>
          <w:szCs w:val="24"/>
        </w:rPr>
        <w:t>We carried out a scoping review, which is a way of collecting and summarising existing research. We searched medical databases for studies that measured body weight, body composition, and cholesterol levels in adults after starting ETI. In total, we included 126 studies. These included both published research papers and summaries presented at medical conferences.</w:t>
      </w:r>
    </w:p>
    <w:p w14:paraId="3EE415B9" w14:textId="77777777" w:rsidR="0098362B" w:rsidRPr="00052D99" w:rsidRDefault="0098362B" w:rsidP="00052D99">
      <w:pPr>
        <w:spacing w:after="0" w:line="240" w:lineRule="auto"/>
        <w:jc w:val="both"/>
        <w:rPr>
          <w:b/>
          <w:sz w:val="24"/>
          <w:szCs w:val="24"/>
        </w:rPr>
      </w:pPr>
    </w:p>
    <w:p w14:paraId="584AAFED" w14:textId="59E1E689" w:rsidR="00540382" w:rsidRPr="00052D99" w:rsidRDefault="0098362B" w:rsidP="00052D99">
      <w:pPr>
        <w:spacing w:after="0" w:line="240" w:lineRule="auto"/>
        <w:jc w:val="both"/>
        <w:rPr>
          <w:b/>
          <w:i/>
          <w:sz w:val="28"/>
          <w:szCs w:val="28"/>
        </w:rPr>
      </w:pPr>
      <w:r w:rsidRPr="00052D99">
        <w:rPr>
          <w:b/>
          <w:sz w:val="28"/>
          <w:szCs w:val="28"/>
        </w:rPr>
        <w:t>What did you find?</w:t>
      </w:r>
      <w:r w:rsidR="00540382" w:rsidRPr="00052D99">
        <w:rPr>
          <w:b/>
          <w:sz w:val="28"/>
          <w:szCs w:val="28"/>
        </w:rPr>
        <w:t xml:space="preserve"> </w:t>
      </w:r>
    </w:p>
    <w:p w14:paraId="6B60EC35" w14:textId="20EAC709" w:rsidR="008F74EC" w:rsidRPr="00052D99" w:rsidRDefault="00DA5FF5" w:rsidP="00052D99">
      <w:pPr>
        <w:spacing w:after="0" w:line="240" w:lineRule="auto"/>
        <w:jc w:val="both"/>
        <w:rPr>
          <w:bCs/>
          <w:sz w:val="24"/>
          <w:szCs w:val="24"/>
        </w:rPr>
      </w:pPr>
      <w:r w:rsidRPr="00052D99">
        <w:rPr>
          <w:bCs/>
          <w:sz w:val="24"/>
          <w:szCs w:val="24"/>
        </w:rPr>
        <w:lastRenderedPageBreak/>
        <w:t>Our review identified consistent changes in BMI, body composition and cholesterol levels following ETI treatment. In 90 percent of studies, BMI increased after starting ETI. While BMI is commonly used, it does not distinguish between fat and muscle. Some studies reported increases in both fat mass and fat-free mass, including muscle. In 18 studies that measured blood markers before and after ETI, there was a consistent rise in total cholesterol and LDL cholesterol. Importantly, despite these increases, most values remained within recommended healthy ranges.</w:t>
      </w:r>
    </w:p>
    <w:p w14:paraId="547299BF" w14:textId="77777777" w:rsidR="00DA5FF5" w:rsidRPr="00052D99" w:rsidRDefault="00DA5FF5" w:rsidP="00052D99">
      <w:pPr>
        <w:spacing w:after="0" w:line="240" w:lineRule="auto"/>
        <w:jc w:val="both"/>
        <w:rPr>
          <w:b/>
          <w:sz w:val="24"/>
          <w:szCs w:val="24"/>
        </w:rPr>
      </w:pPr>
    </w:p>
    <w:p w14:paraId="33103A36" w14:textId="4A56087C" w:rsidR="00540382" w:rsidRPr="00052D99" w:rsidRDefault="0098362B" w:rsidP="00052D99">
      <w:pPr>
        <w:spacing w:after="0" w:line="240" w:lineRule="auto"/>
        <w:jc w:val="both"/>
        <w:rPr>
          <w:b/>
          <w:i/>
          <w:sz w:val="28"/>
          <w:szCs w:val="28"/>
        </w:rPr>
      </w:pPr>
      <w:r w:rsidRPr="00052D99">
        <w:rPr>
          <w:b/>
          <w:sz w:val="28"/>
          <w:szCs w:val="28"/>
        </w:rPr>
        <w:t>What does this mean and reasons for caution?</w:t>
      </w:r>
      <w:r w:rsidR="00540382" w:rsidRPr="00052D99">
        <w:rPr>
          <w:b/>
          <w:sz w:val="28"/>
          <w:szCs w:val="28"/>
        </w:rPr>
        <w:t xml:space="preserve"> </w:t>
      </w:r>
    </w:p>
    <w:p w14:paraId="6B52BD1B" w14:textId="35AC73C0" w:rsidR="0098362B" w:rsidRPr="00052D99" w:rsidRDefault="00DA5FF5" w:rsidP="00052D99">
      <w:pPr>
        <w:spacing w:after="0" w:line="240" w:lineRule="auto"/>
        <w:jc w:val="both"/>
        <w:rPr>
          <w:bCs/>
          <w:sz w:val="24"/>
          <w:szCs w:val="24"/>
        </w:rPr>
      </w:pPr>
      <w:r w:rsidRPr="00052D99">
        <w:rPr>
          <w:bCs/>
          <w:sz w:val="24"/>
          <w:szCs w:val="24"/>
        </w:rPr>
        <w:t xml:space="preserve">These findings show associations rather than direct cause and effect. We cannot say that ETI alone caused these changes. Changes in diet and lifestyle, improved digestion, better overall health or other environmental factors, for example, could all play a role. While most measurements remain within recommended ranges up to two years, continued increases over time may raise cardiometabolic risk to </w:t>
      </w:r>
      <w:proofErr w:type="spellStart"/>
      <w:r w:rsidRPr="00052D99">
        <w:rPr>
          <w:bCs/>
          <w:sz w:val="24"/>
          <w:szCs w:val="24"/>
        </w:rPr>
        <w:t>pwCF</w:t>
      </w:r>
      <w:proofErr w:type="spellEnd"/>
      <w:r w:rsidRPr="00052D99">
        <w:rPr>
          <w:bCs/>
          <w:sz w:val="24"/>
          <w:szCs w:val="24"/>
        </w:rPr>
        <w:t xml:space="preserve"> receiving lifelong ETI treatment.</w:t>
      </w:r>
    </w:p>
    <w:p w14:paraId="7B3033B4" w14:textId="77777777" w:rsidR="00DA5FF5" w:rsidRPr="00052D99" w:rsidRDefault="00DA5FF5" w:rsidP="00052D99">
      <w:pPr>
        <w:spacing w:after="0" w:line="240" w:lineRule="auto"/>
        <w:jc w:val="both"/>
        <w:rPr>
          <w:b/>
          <w:sz w:val="28"/>
          <w:szCs w:val="28"/>
        </w:rPr>
      </w:pPr>
    </w:p>
    <w:p w14:paraId="635AB057" w14:textId="61905A68" w:rsidR="00540382" w:rsidRPr="00052D99" w:rsidRDefault="0098362B" w:rsidP="00052D99">
      <w:pPr>
        <w:spacing w:after="0" w:line="240" w:lineRule="auto"/>
        <w:jc w:val="both"/>
        <w:rPr>
          <w:b/>
          <w:i/>
          <w:sz w:val="28"/>
          <w:szCs w:val="28"/>
        </w:rPr>
      </w:pPr>
      <w:r w:rsidRPr="00052D99">
        <w:rPr>
          <w:b/>
          <w:sz w:val="28"/>
          <w:szCs w:val="28"/>
        </w:rPr>
        <w:t>What’s next?</w:t>
      </w:r>
      <w:r w:rsidR="00540382" w:rsidRPr="00052D99">
        <w:rPr>
          <w:b/>
          <w:sz w:val="28"/>
          <w:szCs w:val="28"/>
        </w:rPr>
        <w:t xml:space="preserve"> </w:t>
      </w:r>
    </w:p>
    <w:p w14:paraId="58838634" w14:textId="3D911728" w:rsidR="00DA5FF5" w:rsidRPr="00052D99" w:rsidRDefault="00DA5FF5" w:rsidP="00052D99">
      <w:pPr>
        <w:spacing w:after="0" w:line="240" w:lineRule="auto"/>
        <w:jc w:val="both"/>
        <w:rPr>
          <w:bCs/>
          <w:sz w:val="24"/>
          <w:szCs w:val="24"/>
        </w:rPr>
      </w:pPr>
      <w:r w:rsidRPr="00052D99">
        <w:rPr>
          <w:bCs/>
          <w:sz w:val="24"/>
          <w:szCs w:val="24"/>
        </w:rPr>
        <w:t>This review highlights the need for routine monitoring of nutrition, body composition and heart health in people with cystic fibrosis on ETI. Long-term research is needed to understand these changes. For now, regular follow-up with the CF team and tailored dietary advice are important for supporting long-term health.</w:t>
      </w:r>
    </w:p>
    <w:p w14:paraId="33B46237" w14:textId="7D150028" w:rsidR="00540382" w:rsidRDefault="00540382" w:rsidP="00052D99">
      <w:pPr>
        <w:jc w:val="both"/>
        <w:rPr>
          <w:i/>
          <w:sz w:val="24"/>
          <w:szCs w:val="24"/>
        </w:rPr>
      </w:pPr>
    </w:p>
    <w:p w14:paraId="41048FAD" w14:textId="77777777" w:rsidR="00167F25" w:rsidRDefault="00167F25" w:rsidP="00167F25">
      <w:pPr>
        <w:spacing w:after="0" w:line="240" w:lineRule="auto"/>
        <w:jc w:val="both"/>
        <w:rPr>
          <w:b/>
          <w:sz w:val="28"/>
          <w:szCs w:val="28"/>
        </w:rPr>
      </w:pPr>
      <w:r w:rsidRPr="00167F25">
        <w:rPr>
          <w:b/>
          <w:sz w:val="28"/>
          <w:szCs w:val="28"/>
        </w:rPr>
        <w:t>Original manuscript citation in PubMed</w:t>
      </w:r>
    </w:p>
    <w:p w14:paraId="7E332578" w14:textId="73842428" w:rsidR="00167F25" w:rsidRPr="005D458F" w:rsidRDefault="005D458F" w:rsidP="00167F25">
      <w:pPr>
        <w:spacing w:after="0" w:line="240" w:lineRule="auto"/>
        <w:jc w:val="both"/>
        <w:rPr>
          <w:bCs/>
          <w:sz w:val="24"/>
          <w:szCs w:val="24"/>
        </w:rPr>
      </w:pPr>
      <w:hyperlink r:id="rId10" w:history="1">
        <w:r w:rsidRPr="005D458F">
          <w:rPr>
            <w:rStyle w:val="Hyperlink"/>
            <w:bCs/>
            <w:sz w:val="24"/>
            <w:szCs w:val="24"/>
          </w:rPr>
          <w:t>https://pubmed.ncbi.nlm.nih.gov/41862297</w:t>
        </w:r>
        <w:r w:rsidRPr="005D458F">
          <w:rPr>
            <w:rStyle w:val="Hyperlink"/>
            <w:bCs/>
            <w:sz w:val="24"/>
            <w:szCs w:val="24"/>
          </w:rPr>
          <w:t>/</w:t>
        </w:r>
      </w:hyperlink>
    </w:p>
    <w:p w14:paraId="2AB383CB" w14:textId="77777777" w:rsidR="005D458F" w:rsidRPr="00167F25" w:rsidRDefault="005D458F" w:rsidP="00167F25">
      <w:pPr>
        <w:spacing w:after="0" w:line="240" w:lineRule="auto"/>
        <w:jc w:val="both"/>
        <w:rPr>
          <w:bCs/>
          <w:sz w:val="28"/>
          <w:szCs w:val="28"/>
        </w:rPr>
      </w:pPr>
    </w:p>
    <w:p w14:paraId="13233B86" w14:textId="77777777" w:rsidR="00167F25" w:rsidRPr="00052D99" w:rsidRDefault="00167F25" w:rsidP="00052D99">
      <w:pPr>
        <w:jc w:val="both"/>
        <w:rPr>
          <w:i/>
          <w:sz w:val="24"/>
          <w:szCs w:val="24"/>
        </w:rPr>
      </w:pPr>
    </w:p>
    <w:sectPr w:rsidR="00167F25" w:rsidRPr="00052D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48D8" w14:textId="77777777" w:rsidR="000A6E47" w:rsidRDefault="000A6E47" w:rsidP="008B1278">
      <w:pPr>
        <w:spacing w:after="0" w:line="240" w:lineRule="auto"/>
      </w:pPr>
      <w:r>
        <w:separator/>
      </w:r>
    </w:p>
  </w:endnote>
  <w:endnote w:type="continuationSeparator" w:id="0">
    <w:p w14:paraId="0F4B6758" w14:textId="77777777" w:rsidR="000A6E47" w:rsidRDefault="000A6E47"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F183" w14:textId="77777777" w:rsidR="000A6E47" w:rsidRDefault="000A6E47" w:rsidP="008B1278">
      <w:pPr>
        <w:spacing w:after="0" w:line="240" w:lineRule="auto"/>
      </w:pPr>
      <w:r>
        <w:separator/>
      </w:r>
    </w:p>
  </w:footnote>
  <w:footnote w:type="continuationSeparator" w:id="0">
    <w:p w14:paraId="241D950B" w14:textId="77777777" w:rsidR="000A6E47" w:rsidRDefault="000A6E47"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030D9"/>
    <w:multiLevelType w:val="hybridMultilevel"/>
    <w:tmpl w:val="43A0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0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073A7"/>
    <w:rsid w:val="00052D99"/>
    <w:rsid w:val="000A6E47"/>
    <w:rsid w:val="000E69B7"/>
    <w:rsid w:val="00156404"/>
    <w:rsid w:val="00167F25"/>
    <w:rsid w:val="00257E89"/>
    <w:rsid w:val="00461AE0"/>
    <w:rsid w:val="0049290B"/>
    <w:rsid w:val="00510E34"/>
    <w:rsid w:val="00540382"/>
    <w:rsid w:val="005D458F"/>
    <w:rsid w:val="006A7976"/>
    <w:rsid w:val="006F28DB"/>
    <w:rsid w:val="00717EB1"/>
    <w:rsid w:val="007C34C3"/>
    <w:rsid w:val="008B1278"/>
    <w:rsid w:val="008F74EC"/>
    <w:rsid w:val="0098362B"/>
    <w:rsid w:val="00A84F5A"/>
    <w:rsid w:val="00CF30A7"/>
    <w:rsid w:val="00D02157"/>
    <w:rsid w:val="00D36FED"/>
    <w:rsid w:val="00DA5F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paragraph" w:styleId="ListParagraph">
    <w:name w:val="List Paragraph"/>
    <w:basedOn w:val="Normal"/>
    <w:uiPriority w:val="34"/>
    <w:qFormat/>
    <w:rsid w:val="008F74EC"/>
    <w:pPr>
      <w:ind w:left="720"/>
      <w:contextualSpacing/>
    </w:pPr>
  </w:style>
  <w:style w:type="character" w:styleId="UnresolvedMention">
    <w:name w:val="Unresolved Mention"/>
    <w:basedOn w:val="DefaultParagraphFont"/>
    <w:uiPriority w:val="99"/>
    <w:semiHidden/>
    <w:unhideWhenUsed/>
    <w:rsid w:val="005D4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ubmed.ncbi.nlm.nih.gov/4186229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7ABC0-B4F0-4ED0-AA25-515A26931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2</TotalTime>
  <Pages>2</Pages>
  <Words>492</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5</cp:revision>
  <dcterms:created xsi:type="dcterms:W3CDTF">2026-03-17T21:29:00Z</dcterms:created>
  <dcterms:modified xsi:type="dcterms:W3CDTF">2026-04-03T19:48:00Z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