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E214" w14:textId="586C6844" w:rsidR="00C9743F" w:rsidRPr="00A725F4" w:rsidRDefault="0098362B" w:rsidP="00A725F4">
      <w:pPr>
        <w:jc w:val="both"/>
        <w:rPr>
          <w:rFonts w:cstheme="minorHAnsi"/>
          <w:b/>
          <w:bCs/>
          <w:sz w:val="24"/>
          <w:szCs w:val="24"/>
          <w:u w:val="single"/>
        </w:rPr>
      </w:pPr>
      <w:r w:rsidRPr="00A725F4">
        <w:rPr>
          <w:rFonts w:cstheme="minorHAnsi"/>
          <w:b/>
          <w:sz w:val="28"/>
          <w:szCs w:val="28"/>
        </w:rPr>
        <w:t>Title:</w:t>
      </w:r>
      <w:r w:rsidR="00C9743F" w:rsidRPr="00A725F4">
        <w:rPr>
          <w:rFonts w:cstheme="minorHAnsi"/>
          <w:b/>
          <w:sz w:val="24"/>
          <w:szCs w:val="24"/>
        </w:rPr>
        <w:t xml:space="preserve"> </w:t>
      </w:r>
      <w:r w:rsidR="00A725F4" w:rsidRPr="00A725F4">
        <w:rPr>
          <w:rFonts w:cstheme="minorHAnsi"/>
          <w:sz w:val="24"/>
          <w:szCs w:val="24"/>
        </w:rPr>
        <w:t>C</w:t>
      </w:r>
      <w:r w:rsidR="001044E3" w:rsidRPr="00A725F4">
        <w:rPr>
          <w:rFonts w:cstheme="minorHAnsi"/>
          <w:sz w:val="24"/>
          <w:szCs w:val="24"/>
        </w:rPr>
        <w:t>onsensus-based guidance for the nutritional management of children with cystic fibrosis on elexacaftor/tezacaftor/ivacaftor</w:t>
      </w:r>
      <w:r w:rsidR="00C9743F" w:rsidRPr="00A725F4">
        <w:rPr>
          <w:rFonts w:cstheme="minorHAnsi"/>
          <w:b/>
          <w:bCs/>
          <w:sz w:val="24"/>
          <w:szCs w:val="24"/>
          <w:u w:val="single"/>
        </w:rPr>
        <w:t xml:space="preserve"> </w:t>
      </w:r>
    </w:p>
    <w:p w14:paraId="10198328" w14:textId="77777777" w:rsidR="00C9743F" w:rsidRPr="00A725F4" w:rsidRDefault="006A7976" w:rsidP="00A725F4">
      <w:pPr>
        <w:jc w:val="both"/>
        <w:rPr>
          <w:rFonts w:cstheme="minorHAnsi"/>
          <w:sz w:val="24"/>
          <w:szCs w:val="24"/>
        </w:rPr>
      </w:pPr>
      <w:r w:rsidRPr="00A725F4">
        <w:rPr>
          <w:rFonts w:cstheme="minorHAnsi"/>
          <w:b/>
          <w:sz w:val="28"/>
          <w:szCs w:val="28"/>
        </w:rPr>
        <w:t>Lay Title:</w:t>
      </w:r>
      <w:r w:rsidR="00C9743F" w:rsidRPr="00A725F4">
        <w:rPr>
          <w:rFonts w:cstheme="minorHAnsi"/>
          <w:b/>
          <w:sz w:val="24"/>
          <w:szCs w:val="24"/>
        </w:rPr>
        <w:t xml:space="preserve"> </w:t>
      </w:r>
      <w:r w:rsidR="00C9743F" w:rsidRPr="00A725F4">
        <w:rPr>
          <w:rFonts w:cstheme="minorHAnsi"/>
          <w:sz w:val="24"/>
          <w:szCs w:val="24"/>
        </w:rPr>
        <w:t>Expert agreement on how to manage the nutrition of children with Cystic Fibrosis (CF) who are on elexacaftor/tezacaftor/ivacaftor (ETI)</w:t>
      </w:r>
    </w:p>
    <w:p w14:paraId="207B0A0F" w14:textId="5E7CB36E" w:rsidR="00816BFA" w:rsidRPr="00A725F4" w:rsidRDefault="0098362B" w:rsidP="00A725F4">
      <w:pPr>
        <w:jc w:val="both"/>
        <w:rPr>
          <w:rFonts w:cstheme="minorHAnsi"/>
          <w:b/>
          <w:sz w:val="24"/>
          <w:szCs w:val="24"/>
        </w:rPr>
      </w:pPr>
      <w:r w:rsidRPr="00A725F4">
        <w:rPr>
          <w:rFonts w:cstheme="minorHAnsi"/>
          <w:b/>
          <w:sz w:val="28"/>
          <w:szCs w:val="28"/>
        </w:rPr>
        <w:t>Authors:</w:t>
      </w:r>
      <w:r w:rsidR="00816BFA" w:rsidRPr="00A725F4">
        <w:rPr>
          <w:rFonts w:cstheme="minorHAnsi"/>
          <w:b/>
          <w:sz w:val="24"/>
          <w:szCs w:val="24"/>
        </w:rPr>
        <w:t xml:space="preserve"> </w:t>
      </w:r>
      <w:r w:rsidR="00816BFA" w:rsidRPr="00A725F4">
        <w:rPr>
          <w:rFonts w:cstheme="minorHAnsi"/>
          <w:sz w:val="24"/>
          <w:szCs w:val="24"/>
        </w:rPr>
        <w:t>Tamarah Katz</w:t>
      </w:r>
      <w:r w:rsidR="00816BFA" w:rsidRPr="00A725F4">
        <w:rPr>
          <w:rFonts w:cstheme="minorHAnsi"/>
          <w:sz w:val="24"/>
          <w:szCs w:val="24"/>
          <w:vertAlign w:val="superscript"/>
        </w:rPr>
        <w:t>1,2</w:t>
      </w:r>
      <w:r w:rsidR="00816BFA" w:rsidRPr="00A725F4">
        <w:rPr>
          <w:rFonts w:cstheme="minorHAnsi"/>
          <w:sz w:val="24"/>
          <w:szCs w:val="24"/>
        </w:rPr>
        <w:t>, Josie van Dorst</w:t>
      </w:r>
      <w:r w:rsidR="00816BFA" w:rsidRPr="00A725F4">
        <w:rPr>
          <w:rFonts w:cstheme="minorHAnsi"/>
          <w:sz w:val="24"/>
          <w:szCs w:val="24"/>
          <w:vertAlign w:val="superscript"/>
        </w:rPr>
        <w:t>1</w:t>
      </w:r>
      <w:r w:rsidR="00816BFA" w:rsidRPr="00A725F4">
        <w:rPr>
          <w:rFonts w:cstheme="minorHAnsi"/>
          <w:sz w:val="24"/>
          <w:szCs w:val="24"/>
        </w:rPr>
        <w:t>, Bernadette Prentice</w:t>
      </w:r>
      <w:r w:rsidR="00816BFA" w:rsidRPr="00A725F4">
        <w:rPr>
          <w:rFonts w:cstheme="minorHAnsi"/>
          <w:sz w:val="24"/>
          <w:szCs w:val="24"/>
          <w:vertAlign w:val="superscript"/>
        </w:rPr>
        <w:t>1,3</w:t>
      </w:r>
      <w:r w:rsidR="00816BFA" w:rsidRPr="00A725F4">
        <w:rPr>
          <w:rFonts w:cstheme="minorHAnsi"/>
          <w:sz w:val="24"/>
          <w:szCs w:val="24"/>
        </w:rPr>
        <w:t>, Christine L. Chan</w:t>
      </w:r>
      <w:r w:rsidR="00816BFA" w:rsidRPr="00A725F4">
        <w:rPr>
          <w:rFonts w:eastAsiaTheme="minorEastAsia" w:cstheme="minorHAnsi"/>
          <w:sz w:val="24"/>
          <w:szCs w:val="24"/>
          <w:vertAlign w:val="superscript"/>
        </w:rPr>
        <w:t>4</w:t>
      </w:r>
      <w:r w:rsidR="00816BFA" w:rsidRPr="00A725F4">
        <w:rPr>
          <w:rFonts w:cstheme="minorHAnsi"/>
          <w:sz w:val="24"/>
          <w:szCs w:val="24"/>
        </w:rPr>
        <w:t>, Dimitri Declercq</w:t>
      </w:r>
      <w:r w:rsidR="00816BFA" w:rsidRPr="00A725F4">
        <w:rPr>
          <w:rFonts w:eastAsiaTheme="minorEastAsia" w:cstheme="minorHAnsi"/>
          <w:sz w:val="24"/>
          <w:szCs w:val="24"/>
          <w:vertAlign w:val="superscript"/>
        </w:rPr>
        <w:t>5</w:t>
      </w:r>
      <w:r w:rsidR="00816BFA" w:rsidRPr="00A725F4">
        <w:rPr>
          <w:rFonts w:cstheme="minorHAnsi"/>
          <w:sz w:val="24"/>
          <w:szCs w:val="24"/>
        </w:rPr>
        <w:t>, Tanja Gonska</w:t>
      </w:r>
      <w:r w:rsidR="00816BFA" w:rsidRPr="00A725F4">
        <w:rPr>
          <w:rFonts w:eastAsiaTheme="minorEastAsia" w:cstheme="minorHAnsi"/>
          <w:sz w:val="24"/>
          <w:szCs w:val="24"/>
          <w:vertAlign w:val="superscript"/>
        </w:rPr>
        <w:t>6</w:t>
      </w:r>
      <w:r w:rsidR="00816BFA" w:rsidRPr="00A725F4">
        <w:rPr>
          <w:rFonts w:cstheme="minorHAnsi"/>
          <w:sz w:val="24"/>
          <w:szCs w:val="24"/>
        </w:rPr>
        <w:t xml:space="preserve"> Jodi Grunert</w:t>
      </w:r>
      <w:r w:rsidR="00816BFA" w:rsidRPr="00A725F4">
        <w:rPr>
          <w:rFonts w:eastAsiaTheme="minorEastAsia" w:cstheme="minorHAnsi"/>
          <w:sz w:val="24"/>
          <w:szCs w:val="24"/>
          <w:vertAlign w:val="superscript"/>
        </w:rPr>
        <w:t>7</w:t>
      </w:r>
      <w:r w:rsidR="00816BFA" w:rsidRPr="00A725F4">
        <w:rPr>
          <w:rFonts w:cstheme="minorHAnsi"/>
          <w:sz w:val="24"/>
          <w:szCs w:val="24"/>
        </w:rPr>
        <w:t>, Daina Kalnins</w:t>
      </w:r>
      <w:r w:rsidR="00816BFA" w:rsidRPr="00A725F4">
        <w:rPr>
          <w:rFonts w:eastAsiaTheme="minorEastAsia" w:cstheme="minorHAnsi"/>
          <w:sz w:val="24"/>
          <w:szCs w:val="24"/>
          <w:vertAlign w:val="superscript"/>
        </w:rPr>
        <w:t>8</w:t>
      </w:r>
      <w:r w:rsidR="00816BFA" w:rsidRPr="00A725F4">
        <w:rPr>
          <w:rFonts w:cstheme="minorHAnsi"/>
          <w:sz w:val="24"/>
          <w:szCs w:val="24"/>
        </w:rPr>
        <w:t>, Christina N. Katsagoni</w:t>
      </w:r>
      <w:r w:rsidR="00816BFA" w:rsidRPr="00A725F4">
        <w:rPr>
          <w:rFonts w:cstheme="minorHAnsi"/>
          <w:sz w:val="24"/>
          <w:szCs w:val="24"/>
          <w:vertAlign w:val="superscript"/>
        </w:rPr>
        <w:t>9</w:t>
      </w:r>
      <w:r w:rsidR="00816BFA" w:rsidRPr="00A725F4">
        <w:rPr>
          <w:rFonts w:cstheme="minorHAnsi"/>
          <w:sz w:val="24"/>
          <w:szCs w:val="24"/>
        </w:rPr>
        <w:t>, Amanda Leonard</w:t>
      </w:r>
      <w:r w:rsidR="00816BFA" w:rsidRPr="00A725F4">
        <w:rPr>
          <w:rFonts w:eastAsiaTheme="minorEastAsia" w:cstheme="minorHAnsi"/>
          <w:sz w:val="24"/>
          <w:szCs w:val="24"/>
          <w:vertAlign w:val="superscript"/>
        </w:rPr>
        <w:t>10</w:t>
      </w:r>
      <w:r w:rsidR="00816BFA" w:rsidRPr="00A725F4">
        <w:rPr>
          <w:rFonts w:cstheme="minorHAnsi"/>
          <w:sz w:val="24"/>
          <w:szCs w:val="24"/>
        </w:rPr>
        <w:t>, Catherine M. McDonald</w:t>
      </w:r>
      <w:r w:rsidR="00816BFA" w:rsidRPr="00A725F4">
        <w:rPr>
          <w:rFonts w:eastAsiaTheme="minorEastAsia" w:cstheme="minorHAnsi"/>
          <w:sz w:val="24"/>
          <w:szCs w:val="24"/>
          <w:vertAlign w:val="superscript"/>
        </w:rPr>
        <w:t>11</w:t>
      </w:r>
      <w:r w:rsidR="00816BFA" w:rsidRPr="00A725F4">
        <w:rPr>
          <w:rFonts w:cstheme="minorHAnsi"/>
          <w:sz w:val="24"/>
          <w:szCs w:val="24"/>
        </w:rPr>
        <w:t>, Paul McNally</w:t>
      </w:r>
      <w:r w:rsidR="00816BFA" w:rsidRPr="00A725F4">
        <w:rPr>
          <w:rFonts w:cstheme="minorHAnsi"/>
          <w:sz w:val="24"/>
          <w:szCs w:val="24"/>
          <w:vertAlign w:val="superscript"/>
        </w:rPr>
        <w:t>12</w:t>
      </w:r>
      <w:r w:rsidR="00816BFA" w:rsidRPr="00A725F4">
        <w:rPr>
          <w:rFonts w:cstheme="minorHAnsi"/>
          <w:sz w:val="24"/>
          <w:szCs w:val="24"/>
        </w:rPr>
        <w:t>, Monika Mielus</w:t>
      </w:r>
      <w:r w:rsidR="00816BFA" w:rsidRPr="00A725F4">
        <w:rPr>
          <w:rFonts w:cstheme="minorHAnsi"/>
          <w:sz w:val="24"/>
          <w:szCs w:val="24"/>
          <w:vertAlign w:val="superscript"/>
        </w:rPr>
        <w:t>13</w:t>
      </w:r>
      <w:r w:rsidR="00816BFA" w:rsidRPr="00A725F4">
        <w:rPr>
          <w:rFonts w:cstheme="minorHAnsi"/>
          <w:sz w:val="24"/>
          <w:szCs w:val="24"/>
        </w:rPr>
        <w:t>, Anne Munck</w:t>
      </w:r>
      <w:r w:rsidR="00816BFA" w:rsidRPr="00A725F4">
        <w:rPr>
          <w:rFonts w:cstheme="minorHAnsi"/>
          <w:sz w:val="24"/>
          <w:szCs w:val="24"/>
          <w:vertAlign w:val="superscript"/>
        </w:rPr>
        <w:t>14</w:t>
      </w:r>
      <w:r w:rsidR="00816BFA" w:rsidRPr="00A725F4">
        <w:rPr>
          <w:rFonts w:cstheme="minorHAnsi"/>
          <w:sz w:val="24"/>
          <w:szCs w:val="24"/>
        </w:rPr>
        <w:t>, Lutz Naehrlich</w:t>
      </w:r>
      <w:r w:rsidR="00816BFA" w:rsidRPr="00A725F4">
        <w:rPr>
          <w:rFonts w:cstheme="minorHAnsi"/>
          <w:sz w:val="24"/>
          <w:szCs w:val="24"/>
          <w:vertAlign w:val="superscript"/>
        </w:rPr>
        <w:t>15</w:t>
      </w:r>
      <w:r w:rsidR="00816BFA" w:rsidRPr="00A725F4">
        <w:rPr>
          <w:rFonts w:cstheme="minorHAnsi"/>
          <w:sz w:val="24"/>
          <w:szCs w:val="24"/>
        </w:rPr>
        <w:t>, Elizabeth Owen</w:t>
      </w:r>
      <w:r w:rsidR="00816BFA" w:rsidRPr="00A725F4">
        <w:rPr>
          <w:rFonts w:cstheme="minorHAnsi"/>
          <w:sz w:val="24"/>
          <w:szCs w:val="24"/>
          <w:vertAlign w:val="superscript"/>
        </w:rPr>
        <w:t>16</w:t>
      </w:r>
      <w:r w:rsidR="00816BFA" w:rsidRPr="00A725F4">
        <w:rPr>
          <w:rFonts w:cstheme="minorHAnsi"/>
          <w:sz w:val="24"/>
          <w:szCs w:val="24"/>
        </w:rPr>
        <w:t>, Chris Smith</w:t>
      </w:r>
      <w:r w:rsidR="00816BFA" w:rsidRPr="00A725F4">
        <w:rPr>
          <w:rFonts w:cstheme="minorHAnsi"/>
          <w:sz w:val="24"/>
          <w:szCs w:val="24"/>
          <w:vertAlign w:val="superscript"/>
        </w:rPr>
        <w:t>17</w:t>
      </w:r>
      <w:r w:rsidR="00816BFA" w:rsidRPr="00A725F4">
        <w:rPr>
          <w:rFonts w:cstheme="minorHAnsi"/>
          <w:sz w:val="24"/>
          <w:szCs w:val="24"/>
        </w:rPr>
        <w:t>,</w:t>
      </w:r>
      <w:r w:rsidR="00816BFA" w:rsidRPr="00A725F4">
        <w:rPr>
          <w:rFonts w:cstheme="minorHAnsi"/>
          <w:sz w:val="24"/>
          <w:szCs w:val="24"/>
          <w:vertAlign w:val="superscript"/>
        </w:rPr>
        <w:t xml:space="preserve"> </w:t>
      </w:r>
      <w:r w:rsidR="00816BFA" w:rsidRPr="00A725F4">
        <w:rPr>
          <w:rFonts w:cstheme="minorHAnsi"/>
          <w:sz w:val="24"/>
          <w:szCs w:val="24"/>
        </w:rPr>
        <w:t>Sarah Jane Schwarzenberg</w:t>
      </w:r>
      <w:r w:rsidR="00816BFA" w:rsidRPr="00A725F4">
        <w:rPr>
          <w:rFonts w:eastAsiaTheme="minorEastAsia" w:cstheme="minorHAnsi"/>
          <w:sz w:val="24"/>
          <w:szCs w:val="24"/>
          <w:vertAlign w:val="superscript"/>
        </w:rPr>
        <w:t>18</w:t>
      </w:r>
      <w:r w:rsidR="00816BFA" w:rsidRPr="00A725F4">
        <w:rPr>
          <w:rFonts w:cstheme="minorHAnsi"/>
          <w:sz w:val="24"/>
          <w:szCs w:val="24"/>
        </w:rPr>
        <w:t>, Vito Terlizzi</w:t>
      </w:r>
      <w:r w:rsidR="00816BFA" w:rsidRPr="00A725F4">
        <w:rPr>
          <w:rFonts w:cstheme="minorHAnsi"/>
          <w:sz w:val="24"/>
          <w:szCs w:val="24"/>
          <w:vertAlign w:val="superscript"/>
        </w:rPr>
        <w:t>19</w:t>
      </w:r>
      <w:r w:rsidR="00816BFA" w:rsidRPr="00A725F4">
        <w:rPr>
          <w:rFonts w:cstheme="minorHAnsi"/>
          <w:sz w:val="24"/>
          <w:szCs w:val="24"/>
        </w:rPr>
        <w:t>, Michael Wilschanski</w:t>
      </w:r>
      <w:r w:rsidR="00816BFA" w:rsidRPr="00A725F4">
        <w:rPr>
          <w:rFonts w:eastAsiaTheme="minorEastAsia" w:cstheme="minorHAnsi"/>
          <w:sz w:val="24"/>
          <w:szCs w:val="24"/>
          <w:vertAlign w:val="superscript"/>
        </w:rPr>
        <w:t>20</w:t>
      </w:r>
      <w:r w:rsidR="00816BFA" w:rsidRPr="00A725F4">
        <w:rPr>
          <w:rFonts w:cstheme="minorHAnsi"/>
          <w:sz w:val="24"/>
          <w:szCs w:val="24"/>
        </w:rPr>
        <w:t>, Chee Y. Ooi</w:t>
      </w:r>
      <w:r w:rsidR="00816BFA" w:rsidRPr="00A725F4">
        <w:rPr>
          <w:rFonts w:cstheme="minorHAnsi"/>
          <w:sz w:val="24"/>
          <w:szCs w:val="24"/>
          <w:vertAlign w:val="superscript"/>
        </w:rPr>
        <w:t>1, 21</w:t>
      </w:r>
    </w:p>
    <w:p w14:paraId="11EFFD1B" w14:textId="36C8FED2" w:rsidR="0098362B" w:rsidRPr="00A725F4" w:rsidRDefault="0098362B" w:rsidP="00A725F4">
      <w:pPr>
        <w:spacing w:after="0" w:line="240" w:lineRule="auto"/>
        <w:jc w:val="both"/>
        <w:rPr>
          <w:rFonts w:cstheme="minorHAnsi"/>
          <w:b/>
          <w:sz w:val="24"/>
          <w:szCs w:val="24"/>
        </w:rPr>
      </w:pPr>
      <w:r w:rsidRPr="00A725F4">
        <w:rPr>
          <w:rFonts w:cstheme="minorHAnsi"/>
          <w:b/>
          <w:sz w:val="28"/>
          <w:szCs w:val="28"/>
        </w:rPr>
        <w:t>Affiliations</w:t>
      </w:r>
      <w:r w:rsidRPr="00A725F4">
        <w:rPr>
          <w:rFonts w:cstheme="minorHAnsi"/>
          <w:b/>
          <w:sz w:val="24"/>
          <w:szCs w:val="24"/>
        </w:rPr>
        <w:t>:</w:t>
      </w:r>
      <w:r w:rsidR="00816BFA" w:rsidRPr="00A725F4">
        <w:rPr>
          <w:rFonts w:cstheme="minorHAnsi"/>
          <w:b/>
          <w:sz w:val="24"/>
          <w:szCs w:val="24"/>
        </w:rPr>
        <w:t xml:space="preserve"> </w:t>
      </w:r>
    </w:p>
    <w:p w14:paraId="6A1BE1AA" w14:textId="77777777" w:rsidR="00816BFA" w:rsidRPr="00A725F4" w:rsidRDefault="00816BFA" w:rsidP="00A725F4">
      <w:pPr>
        <w:jc w:val="both"/>
        <w:rPr>
          <w:rFonts w:cstheme="minorHAnsi"/>
          <w:sz w:val="24"/>
          <w:szCs w:val="24"/>
          <w:vertAlign w:val="superscript"/>
        </w:rPr>
      </w:pPr>
      <w:r w:rsidRPr="00A725F4">
        <w:rPr>
          <w:rFonts w:cstheme="minorHAnsi"/>
          <w:sz w:val="24"/>
          <w:szCs w:val="24"/>
          <w:vertAlign w:val="superscript"/>
        </w:rPr>
        <w:t xml:space="preserve">1 </w:t>
      </w:r>
      <w:r w:rsidRPr="00A725F4">
        <w:rPr>
          <w:rFonts w:cstheme="minorHAnsi"/>
          <w:sz w:val="24"/>
          <w:szCs w:val="24"/>
        </w:rPr>
        <w:t>School of Clinical Medicine, Discipline of</w:t>
      </w:r>
      <w:r w:rsidRPr="00A725F4">
        <w:rPr>
          <w:rFonts w:cstheme="minorHAnsi"/>
          <w:sz w:val="24"/>
          <w:szCs w:val="24"/>
          <w:vertAlign w:val="superscript"/>
        </w:rPr>
        <w:t xml:space="preserve"> </w:t>
      </w:r>
      <w:r w:rsidRPr="00A725F4">
        <w:rPr>
          <w:rFonts w:cstheme="minorHAnsi"/>
          <w:sz w:val="24"/>
          <w:szCs w:val="24"/>
        </w:rPr>
        <w:t>Paediatrics and Child Health, UNSW Medicine and Health, University of New South Wales, Sydney, Australia</w:t>
      </w:r>
      <w:r w:rsidRPr="00A725F4">
        <w:rPr>
          <w:rFonts w:cstheme="minorHAnsi"/>
          <w:sz w:val="24"/>
          <w:szCs w:val="24"/>
          <w:vertAlign w:val="superscript"/>
        </w:rPr>
        <w:t xml:space="preserve"> </w:t>
      </w:r>
    </w:p>
    <w:p w14:paraId="4AAD18B0" w14:textId="77777777" w:rsidR="00816BFA" w:rsidRPr="00A725F4" w:rsidRDefault="00816BFA" w:rsidP="00A725F4">
      <w:pPr>
        <w:jc w:val="both"/>
        <w:rPr>
          <w:rFonts w:cstheme="minorHAnsi"/>
          <w:sz w:val="24"/>
          <w:szCs w:val="24"/>
        </w:rPr>
      </w:pPr>
      <w:r w:rsidRPr="00A725F4">
        <w:rPr>
          <w:rFonts w:cstheme="minorHAnsi"/>
          <w:sz w:val="24"/>
          <w:szCs w:val="24"/>
          <w:vertAlign w:val="superscript"/>
        </w:rPr>
        <w:t xml:space="preserve">2 </w:t>
      </w:r>
      <w:r w:rsidRPr="00A725F4">
        <w:rPr>
          <w:rFonts w:cstheme="minorHAnsi"/>
          <w:sz w:val="24"/>
          <w:szCs w:val="24"/>
        </w:rPr>
        <w:t xml:space="preserve">Department of Nutrition and Dietetics, Sydney Children's Hospital Network, Randwick, Australia </w:t>
      </w:r>
    </w:p>
    <w:p w14:paraId="6D990149" w14:textId="77777777" w:rsidR="00816BFA" w:rsidRPr="00A725F4" w:rsidRDefault="00816BFA" w:rsidP="00A725F4">
      <w:pPr>
        <w:jc w:val="both"/>
        <w:rPr>
          <w:rFonts w:cstheme="minorHAnsi"/>
          <w:sz w:val="24"/>
          <w:szCs w:val="24"/>
        </w:rPr>
      </w:pPr>
      <w:r w:rsidRPr="00A725F4">
        <w:rPr>
          <w:rFonts w:cstheme="minorHAnsi"/>
          <w:sz w:val="24"/>
          <w:szCs w:val="24"/>
          <w:vertAlign w:val="superscript"/>
        </w:rPr>
        <w:t xml:space="preserve">3 </w:t>
      </w:r>
      <w:r w:rsidRPr="00A725F4">
        <w:rPr>
          <w:rFonts w:cstheme="minorHAnsi"/>
          <w:sz w:val="24"/>
          <w:szCs w:val="24"/>
        </w:rPr>
        <w:t>Department of Respiratory Medicine, Sydney Children's Hospital Network, Randwick, Australia</w:t>
      </w:r>
    </w:p>
    <w:p w14:paraId="21D33632" w14:textId="77777777" w:rsidR="00816BFA" w:rsidRPr="00A725F4" w:rsidRDefault="00816BFA" w:rsidP="00A725F4">
      <w:pPr>
        <w:jc w:val="both"/>
        <w:rPr>
          <w:rFonts w:cstheme="minorHAnsi"/>
          <w:sz w:val="24"/>
          <w:szCs w:val="24"/>
        </w:rPr>
      </w:pPr>
      <w:r w:rsidRPr="00A725F4">
        <w:rPr>
          <w:rFonts w:eastAsiaTheme="minorEastAsia" w:cstheme="minorHAnsi"/>
          <w:sz w:val="24"/>
          <w:szCs w:val="24"/>
          <w:vertAlign w:val="superscript"/>
        </w:rPr>
        <w:t>4</w:t>
      </w:r>
      <w:r w:rsidRPr="00A725F4">
        <w:rPr>
          <w:rFonts w:cstheme="minorHAnsi"/>
          <w:sz w:val="24"/>
          <w:szCs w:val="24"/>
        </w:rPr>
        <w:t xml:space="preserve"> Department of Pediatrics, Section of Endocrinology, Children's Hospital Colorado; University of Colorado Anschutz Medical Campus, Aurora,CO, USA</w:t>
      </w:r>
    </w:p>
    <w:p w14:paraId="3ED2EC90" w14:textId="77777777" w:rsidR="00816BFA" w:rsidRPr="00A725F4" w:rsidRDefault="00816BFA" w:rsidP="00A725F4">
      <w:pPr>
        <w:jc w:val="both"/>
        <w:rPr>
          <w:rFonts w:cstheme="minorHAnsi"/>
          <w:sz w:val="24"/>
          <w:szCs w:val="24"/>
        </w:rPr>
      </w:pPr>
      <w:r w:rsidRPr="00A725F4">
        <w:rPr>
          <w:rFonts w:eastAsiaTheme="minorEastAsia" w:cstheme="minorHAnsi"/>
          <w:sz w:val="24"/>
          <w:szCs w:val="24"/>
          <w:vertAlign w:val="superscript"/>
        </w:rPr>
        <w:t>5</w:t>
      </w:r>
      <w:r w:rsidRPr="00A725F4">
        <w:rPr>
          <w:rFonts w:cstheme="minorHAnsi"/>
          <w:sz w:val="24"/>
          <w:szCs w:val="24"/>
        </w:rPr>
        <w:t xml:space="preserve"> Department of Pediatrics, Cystic Fibrosis Reference Centre, Ghent University Hospital; Department of Internal Medicine and Pediatrics, Faculty of Medicine and Health Sciences, Ghent University, Ghent, Belgium </w:t>
      </w:r>
    </w:p>
    <w:p w14:paraId="3CCA2655" w14:textId="77777777" w:rsidR="00816BFA" w:rsidRPr="00A725F4" w:rsidRDefault="00816BFA" w:rsidP="00A725F4">
      <w:pPr>
        <w:jc w:val="both"/>
        <w:rPr>
          <w:rFonts w:cstheme="minorHAnsi"/>
          <w:sz w:val="24"/>
          <w:szCs w:val="24"/>
        </w:rPr>
      </w:pPr>
      <w:r w:rsidRPr="00A725F4">
        <w:rPr>
          <w:rFonts w:eastAsiaTheme="minorEastAsia" w:cstheme="minorHAnsi"/>
          <w:sz w:val="24"/>
          <w:szCs w:val="24"/>
          <w:vertAlign w:val="superscript"/>
        </w:rPr>
        <w:t>6</w:t>
      </w:r>
      <w:r w:rsidRPr="00A725F4">
        <w:rPr>
          <w:rFonts w:cstheme="minorHAnsi"/>
          <w:sz w:val="24"/>
          <w:szCs w:val="24"/>
        </w:rPr>
        <w:t xml:space="preserve"> Pediatric Gastroenterology, Toronto Hospital for Sick Children, Toronto, ON, Canada</w:t>
      </w:r>
    </w:p>
    <w:p w14:paraId="322D5270" w14:textId="77777777" w:rsidR="00816BFA" w:rsidRPr="00A725F4" w:rsidRDefault="00816BFA" w:rsidP="00A725F4">
      <w:pPr>
        <w:jc w:val="both"/>
        <w:rPr>
          <w:rFonts w:cstheme="minorHAnsi"/>
          <w:sz w:val="24"/>
          <w:szCs w:val="24"/>
        </w:rPr>
      </w:pPr>
      <w:r w:rsidRPr="00A725F4">
        <w:rPr>
          <w:rFonts w:eastAsiaTheme="minorEastAsia" w:cstheme="minorHAnsi"/>
          <w:sz w:val="24"/>
          <w:szCs w:val="24"/>
          <w:vertAlign w:val="superscript"/>
        </w:rPr>
        <w:t>7</w:t>
      </w:r>
      <w:r w:rsidRPr="00A725F4">
        <w:rPr>
          <w:rFonts w:cstheme="minorHAnsi"/>
          <w:sz w:val="24"/>
          <w:szCs w:val="24"/>
        </w:rPr>
        <w:t xml:space="preserve"> Department of Nutrition, Women's and Children's Health Network, Adelaide, Australia</w:t>
      </w:r>
    </w:p>
    <w:p w14:paraId="0FC05813" w14:textId="77777777" w:rsidR="00816BFA" w:rsidRPr="00A725F4" w:rsidRDefault="00816BFA" w:rsidP="00A725F4">
      <w:pPr>
        <w:jc w:val="both"/>
        <w:rPr>
          <w:rFonts w:cstheme="minorHAnsi"/>
          <w:sz w:val="24"/>
          <w:szCs w:val="24"/>
        </w:rPr>
      </w:pPr>
      <w:r w:rsidRPr="00A725F4">
        <w:rPr>
          <w:rFonts w:eastAsiaTheme="minorEastAsia" w:cstheme="minorHAnsi"/>
          <w:sz w:val="24"/>
          <w:szCs w:val="24"/>
          <w:vertAlign w:val="superscript"/>
        </w:rPr>
        <w:t>8</w:t>
      </w:r>
      <w:r w:rsidRPr="00A725F4">
        <w:rPr>
          <w:rFonts w:cstheme="minorHAnsi"/>
          <w:sz w:val="24"/>
          <w:szCs w:val="24"/>
        </w:rPr>
        <w:t xml:space="preserve"> Department of Clinical Dietetics, The Hospital for Sick Children, Toronto, ON, Canada</w:t>
      </w:r>
    </w:p>
    <w:p w14:paraId="60FF8C05" w14:textId="77777777" w:rsidR="00816BFA" w:rsidRPr="00A725F4" w:rsidRDefault="00816BFA" w:rsidP="00A725F4">
      <w:pPr>
        <w:jc w:val="both"/>
        <w:rPr>
          <w:rFonts w:cstheme="minorHAnsi"/>
          <w:sz w:val="24"/>
          <w:szCs w:val="24"/>
        </w:rPr>
      </w:pPr>
      <w:r w:rsidRPr="00A725F4">
        <w:rPr>
          <w:rFonts w:cstheme="minorHAnsi"/>
          <w:sz w:val="24"/>
          <w:szCs w:val="24"/>
          <w:vertAlign w:val="superscript"/>
        </w:rPr>
        <w:lastRenderedPageBreak/>
        <w:t>9</w:t>
      </w:r>
      <w:r w:rsidRPr="00A725F4">
        <w:rPr>
          <w:rFonts w:cstheme="minorHAnsi"/>
          <w:sz w:val="24"/>
          <w:szCs w:val="24"/>
        </w:rPr>
        <w:t xml:space="preserve"> School of Health Sciences, Department of Nutritional Science and Dietetics, International Hellenic University, Thessaloniki, Greece</w:t>
      </w:r>
    </w:p>
    <w:p w14:paraId="46AB81B8" w14:textId="77777777" w:rsidR="00816BFA" w:rsidRPr="00A725F4" w:rsidRDefault="00816BFA" w:rsidP="00A725F4">
      <w:pPr>
        <w:jc w:val="both"/>
        <w:rPr>
          <w:rFonts w:cstheme="minorHAnsi"/>
          <w:sz w:val="24"/>
          <w:szCs w:val="24"/>
        </w:rPr>
      </w:pPr>
      <w:r w:rsidRPr="00A725F4">
        <w:rPr>
          <w:rFonts w:cstheme="minorHAnsi"/>
          <w:sz w:val="24"/>
          <w:szCs w:val="24"/>
          <w:vertAlign w:val="superscript"/>
        </w:rPr>
        <w:t>10</w:t>
      </w:r>
      <w:r w:rsidRPr="00A725F4">
        <w:rPr>
          <w:rFonts w:cstheme="minorHAnsi"/>
          <w:sz w:val="24"/>
          <w:szCs w:val="24"/>
        </w:rPr>
        <w:t xml:space="preserve"> Department of Pediatric Nutrition, , The Johns Hopkins Children's Center, Baltimore, USA</w:t>
      </w:r>
    </w:p>
    <w:p w14:paraId="3C9C4AE2" w14:textId="77777777" w:rsidR="00816BFA" w:rsidRPr="00A725F4" w:rsidRDefault="00816BFA" w:rsidP="00A725F4">
      <w:pPr>
        <w:jc w:val="both"/>
        <w:rPr>
          <w:rFonts w:cstheme="minorHAnsi"/>
          <w:sz w:val="24"/>
          <w:szCs w:val="24"/>
        </w:rPr>
      </w:pPr>
      <w:r w:rsidRPr="00A725F4">
        <w:rPr>
          <w:rFonts w:eastAsiaTheme="minorEastAsia" w:cstheme="minorHAnsi"/>
          <w:sz w:val="24"/>
          <w:szCs w:val="24"/>
          <w:vertAlign w:val="superscript"/>
        </w:rPr>
        <w:t>11</w:t>
      </w:r>
      <w:r w:rsidRPr="00A725F4">
        <w:rPr>
          <w:rFonts w:cstheme="minorHAnsi"/>
          <w:sz w:val="24"/>
          <w:szCs w:val="24"/>
        </w:rPr>
        <w:t xml:space="preserve"> Department of Nutrition, Primary Children’s Hospital, Salt Lake City, USA</w:t>
      </w:r>
    </w:p>
    <w:p w14:paraId="52F18E2D" w14:textId="77777777" w:rsidR="00816BFA" w:rsidRPr="00A725F4" w:rsidRDefault="00816BFA" w:rsidP="00A725F4">
      <w:pPr>
        <w:jc w:val="both"/>
        <w:rPr>
          <w:rFonts w:cstheme="minorHAnsi"/>
          <w:sz w:val="24"/>
          <w:szCs w:val="24"/>
        </w:rPr>
      </w:pPr>
      <w:r w:rsidRPr="00A725F4">
        <w:rPr>
          <w:rFonts w:cstheme="minorHAnsi"/>
          <w:sz w:val="24"/>
          <w:szCs w:val="24"/>
          <w:vertAlign w:val="superscript"/>
        </w:rPr>
        <w:t>12</w:t>
      </w:r>
      <w:r w:rsidRPr="00A725F4">
        <w:rPr>
          <w:rFonts w:cstheme="minorHAnsi"/>
          <w:sz w:val="24"/>
          <w:szCs w:val="24"/>
        </w:rPr>
        <w:t xml:space="preserve"> RCSI University of Medicine and Health Sciences, Dublin, Ireland; Children's Health Ireland, Dublin, Ireland</w:t>
      </w:r>
    </w:p>
    <w:p w14:paraId="17E83888" w14:textId="77777777" w:rsidR="00816BFA" w:rsidRPr="00A725F4" w:rsidRDefault="00816BFA" w:rsidP="00A725F4">
      <w:pPr>
        <w:jc w:val="both"/>
        <w:rPr>
          <w:rFonts w:cstheme="minorHAnsi"/>
          <w:sz w:val="24"/>
          <w:szCs w:val="24"/>
        </w:rPr>
      </w:pPr>
      <w:r w:rsidRPr="00A725F4">
        <w:rPr>
          <w:rFonts w:cstheme="minorHAnsi"/>
          <w:sz w:val="24"/>
          <w:szCs w:val="24"/>
          <w:vertAlign w:val="superscript"/>
        </w:rPr>
        <w:t>13</w:t>
      </w:r>
      <w:r w:rsidRPr="00A725F4">
        <w:rPr>
          <w:rFonts w:cstheme="minorHAnsi"/>
          <w:sz w:val="24"/>
          <w:szCs w:val="24"/>
        </w:rPr>
        <w:t xml:space="preserve"> Cystic Fibrosis Department, Institute of Mother and Child, Warsaw, Poland; Cystic Fibrosis Centre, Pediatric Hospital, Dziekanow Lesny, Poland</w:t>
      </w:r>
    </w:p>
    <w:p w14:paraId="42CD6743" w14:textId="77777777" w:rsidR="00816BFA" w:rsidRPr="00A725F4" w:rsidRDefault="00816BFA" w:rsidP="00A725F4">
      <w:pPr>
        <w:jc w:val="both"/>
        <w:rPr>
          <w:rFonts w:cstheme="minorHAnsi"/>
          <w:sz w:val="24"/>
          <w:szCs w:val="24"/>
          <w:lang w:val="fr-FR"/>
        </w:rPr>
      </w:pPr>
      <w:r w:rsidRPr="00A725F4">
        <w:rPr>
          <w:rFonts w:cstheme="minorHAnsi"/>
          <w:sz w:val="24"/>
          <w:szCs w:val="24"/>
          <w:vertAlign w:val="superscript"/>
          <w:lang w:val="fr-FR"/>
        </w:rPr>
        <w:t>14</w:t>
      </w:r>
      <w:r w:rsidRPr="00A725F4">
        <w:rPr>
          <w:rFonts w:cstheme="minorHAnsi"/>
          <w:sz w:val="24"/>
          <w:szCs w:val="24"/>
          <w:lang w:val="fr-FR"/>
        </w:rPr>
        <w:t xml:space="preserve"> Hospital Necker Enfants-Malades, Assistance Publique-Hôpitaux de Paris, Pediatric CF center, Université Paris, Paris, France</w:t>
      </w:r>
    </w:p>
    <w:p w14:paraId="5CFF5579" w14:textId="77777777" w:rsidR="00816BFA" w:rsidRPr="00A725F4" w:rsidRDefault="00816BFA" w:rsidP="00A725F4">
      <w:pPr>
        <w:jc w:val="both"/>
        <w:rPr>
          <w:rFonts w:cstheme="minorHAnsi"/>
          <w:sz w:val="24"/>
          <w:szCs w:val="24"/>
        </w:rPr>
      </w:pPr>
      <w:r w:rsidRPr="00A725F4">
        <w:rPr>
          <w:rFonts w:cstheme="minorHAnsi"/>
          <w:sz w:val="24"/>
          <w:szCs w:val="24"/>
          <w:vertAlign w:val="superscript"/>
        </w:rPr>
        <w:t>15</w:t>
      </w:r>
      <w:r w:rsidRPr="00A725F4">
        <w:rPr>
          <w:rFonts w:cstheme="minorHAnsi"/>
          <w:sz w:val="24"/>
          <w:szCs w:val="24"/>
        </w:rPr>
        <w:t xml:space="preserve"> Department of Pediatrics, Justus-Liebig-University Giessen, Germany</w:t>
      </w:r>
    </w:p>
    <w:p w14:paraId="4A7EDE85" w14:textId="77777777" w:rsidR="00816BFA" w:rsidRPr="00A725F4" w:rsidRDefault="00816BFA" w:rsidP="00A725F4">
      <w:pPr>
        <w:jc w:val="both"/>
        <w:rPr>
          <w:rFonts w:cstheme="minorHAnsi"/>
          <w:sz w:val="24"/>
          <w:szCs w:val="24"/>
        </w:rPr>
      </w:pPr>
      <w:r w:rsidRPr="00A725F4">
        <w:rPr>
          <w:rFonts w:cstheme="minorHAnsi"/>
          <w:sz w:val="24"/>
          <w:szCs w:val="24"/>
          <w:vertAlign w:val="superscript"/>
        </w:rPr>
        <w:t>16</w:t>
      </w:r>
      <w:r w:rsidRPr="00A725F4">
        <w:rPr>
          <w:rFonts w:cstheme="minorHAnsi"/>
          <w:sz w:val="24"/>
          <w:szCs w:val="24"/>
        </w:rPr>
        <w:t xml:space="preserve"> Department of Nutrition, Great Ormond Street Hospital for Children, London, UK</w:t>
      </w:r>
    </w:p>
    <w:p w14:paraId="002B6CD0" w14:textId="77777777" w:rsidR="00816BFA" w:rsidRPr="00A725F4" w:rsidRDefault="00816BFA" w:rsidP="00A725F4">
      <w:pPr>
        <w:jc w:val="both"/>
        <w:rPr>
          <w:rFonts w:cstheme="minorHAnsi"/>
          <w:sz w:val="24"/>
          <w:szCs w:val="24"/>
        </w:rPr>
      </w:pPr>
      <w:r w:rsidRPr="00A725F4">
        <w:rPr>
          <w:rFonts w:cstheme="minorHAnsi"/>
          <w:sz w:val="24"/>
          <w:szCs w:val="24"/>
          <w:vertAlign w:val="superscript"/>
        </w:rPr>
        <w:t>17</w:t>
      </w:r>
      <w:r w:rsidRPr="00A725F4">
        <w:rPr>
          <w:rFonts w:cstheme="minorHAnsi"/>
          <w:sz w:val="24"/>
          <w:szCs w:val="24"/>
        </w:rPr>
        <w:t xml:space="preserve"> Department of Nutrition and Dietetics, Royal Alexandra Children's Hospital; Brighton and Sussex Medical School, Brighton, UK</w:t>
      </w:r>
    </w:p>
    <w:p w14:paraId="1CFA0889" w14:textId="77777777" w:rsidR="00816BFA" w:rsidRPr="00A725F4" w:rsidRDefault="00816BFA" w:rsidP="00A725F4">
      <w:pPr>
        <w:jc w:val="both"/>
        <w:rPr>
          <w:rFonts w:cstheme="minorHAnsi"/>
          <w:sz w:val="24"/>
          <w:szCs w:val="24"/>
        </w:rPr>
      </w:pPr>
      <w:r w:rsidRPr="00A725F4">
        <w:rPr>
          <w:rFonts w:eastAsiaTheme="minorEastAsia" w:cstheme="minorHAnsi"/>
          <w:sz w:val="24"/>
          <w:szCs w:val="24"/>
          <w:vertAlign w:val="superscript"/>
        </w:rPr>
        <w:t>18</w:t>
      </w:r>
      <w:r w:rsidRPr="00A725F4">
        <w:rPr>
          <w:rFonts w:cstheme="minorHAnsi"/>
          <w:sz w:val="24"/>
          <w:szCs w:val="24"/>
        </w:rPr>
        <w:t xml:space="preserve"> Pediatric Gastroenterology, Hepatology and Nutrition, MHealth Fairview Masonic Children's Hospital, Minneapolis, MN, USA</w:t>
      </w:r>
    </w:p>
    <w:p w14:paraId="3F262040" w14:textId="77777777" w:rsidR="00816BFA" w:rsidRPr="00A725F4" w:rsidRDefault="00816BFA" w:rsidP="00A725F4">
      <w:pPr>
        <w:jc w:val="both"/>
        <w:rPr>
          <w:rFonts w:cstheme="minorHAnsi"/>
          <w:sz w:val="24"/>
          <w:szCs w:val="24"/>
        </w:rPr>
      </w:pPr>
      <w:r w:rsidRPr="00A725F4">
        <w:rPr>
          <w:rFonts w:cstheme="minorHAnsi"/>
          <w:sz w:val="24"/>
          <w:szCs w:val="24"/>
          <w:vertAlign w:val="superscript"/>
        </w:rPr>
        <w:t>19</w:t>
      </w:r>
      <w:r w:rsidRPr="00A725F4">
        <w:rPr>
          <w:rFonts w:cstheme="minorHAnsi"/>
          <w:sz w:val="24"/>
          <w:szCs w:val="24"/>
        </w:rPr>
        <w:t xml:space="preserve"> Meyer Children's Hospital IRCCS, Department of Paediatric Medicine, Cystic Fibrosis Regional Reference Center, Florence, Italy</w:t>
      </w:r>
    </w:p>
    <w:p w14:paraId="34B00D1E" w14:textId="77777777" w:rsidR="00816BFA" w:rsidRPr="00A725F4" w:rsidRDefault="00816BFA" w:rsidP="00A725F4">
      <w:pPr>
        <w:jc w:val="both"/>
        <w:rPr>
          <w:rFonts w:cstheme="minorHAnsi"/>
          <w:sz w:val="24"/>
          <w:szCs w:val="24"/>
        </w:rPr>
      </w:pPr>
      <w:r w:rsidRPr="00A725F4">
        <w:rPr>
          <w:rFonts w:eastAsiaTheme="minorEastAsia" w:cstheme="minorHAnsi"/>
          <w:sz w:val="24"/>
          <w:szCs w:val="24"/>
          <w:vertAlign w:val="superscript"/>
        </w:rPr>
        <w:t>20</w:t>
      </w:r>
      <w:r w:rsidRPr="00A725F4">
        <w:rPr>
          <w:rFonts w:cstheme="minorHAnsi"/>
          <w:sz w:val="24"/>
          <w:szCs w:val="24"/>
        </w:rPr>
        <w:t xml:space="preserve"> Department of Gastroenterology, Hadassah, Hebrew University Hospital, Jerusalem, Israel</w:t>
      </w:r>
    </w:p>
    <w:p w14:paraId="3ECDA763" w14:textId="3304E3A1" w:rsidR="0098362B" w:rsidRPr="00A725F4" w:rsidRDefault="00816BFA" w:rsidP="00A725F4">
      <w:pPr>
        <w:jc w:val="both"/>
        <w:rPr>
          <w:rFonts w:cstheme="minorHAnsi"/>
          <w:sz w:val="24"/>
          <w:szCs w:val="24"/>
        </w:rPr>
      </w:pPr>
      <w:r w:rsidRPr="00A725F4">
        <w:rPr>
          <w:rFonts w:cstheme="minorHAnsi"/>
          <w:sz w:val="24"/>
          <w:szCs w:val="24"/>
          <w:vertAlign w:val="superscript"/>
        </w:rPr>
        <w:t>21</w:t>
      </w:r>
      <w:r w:rsidRPr="00A725F4">
        <w:rPr>
          <w:rFonts w:cstheme="minorHAnsi"/>
          <w:sz w:val="24"/>
          <w:szCs w:val="24"/>
        </w:rPr>
        <w:t xml:space="preserve"> Department of Gastroenterology, Sydney Children's Hospital Network, Randwick, Australia</w:t>
      </w:r>
    </w:p>
    <w:p w14:paraId="729B4BBE" w14:textId="5ED78053" w:rsidR="0098362B" w:rsidRPr="00A725F4" w:rsidRDefault="0098362B" w:rsidP="00A725F4">
      <w:pPr>
        <w:spacing w:after="0" w:line="240" w:lineRule="auto"/>
        <w:jc w:val="both"/>
        <w:rPr>
          <w:rFonts w:cstheme="minorHAnsi"/>
          <w:b/>
          <w:i/>
          <w:sz w:val="28"/>
          <w:szCs w:val="28"/>
        </w:rPr>
      </w:pPr>
      <w:r w:rsidRPr="00A725F4">
        <w:rPr>
          <w:rFonts w:cstheme="minorHAnsi"/>
          <w:b/>
          <w:sz w:val="28"/>
          <w:szCs w:val="28"/>
        </w:rPr>
        <w:t>What was your research question?</w:t>
      </w:r>
      <w:r w:rsidR="00540382" w:rsidRPr="00A725F4">
        <w:rPr>
          <w:rFonts w:cstheme="minorHAnsi"/>
          <w:b/>
          <w:sz w:val="28"/>
          <w:szCs w:val="28"/>
        </w:rPr>
        <w:t xml:space="preserve"> </w:t>
      </w:r>
    </w:p>
    <w:p w14:paraId="1E1E2E95" w14:textId="6AF91582" w:rsidR="00C9743F" w:rsidRDefault="00656732" w:rsidP="00A725F4">
      <w:pPr>
        <w:spacing w:after="0" w:line="240" w:lineRule="auto"/>
        <w:jc w:val="both"/>
        <w:rPr>
          <w:rFonts w:cstheme="minorHAnsi"/>
          <w:sz w:val="24"/>
          <w:szCs w:val="24"/>
        </w:rPr>
      </w:pPr>
      <w:r w:rsidRPr="00A725F4">
        <w:rPr>
          <w:rFonts w:cstheme="minorHAnsi"/>
          <w:sz w:val="24"/>
          <w:szCs w:val="24"/>
        </w:rPr>
        <w:t xml:space="preserve">What do </w:t>
      </w:r>
      <w:r w:rsidR="006B2C9B" w:rsidRPr="00A725F4">
        <w:rPr>
          <w:rFonts w:cstheme="minorHAnsi"/>
          <w:sz w:val="24"/>
          <w:szCs w:val="24"/>
        </w:rPr>
        <w:t xml:space="preserve">studies to date tell us </w:t>
      </w:r>
      <w:r w:rsidRPr="00A725F4">
        <w:rPr>
          <w:rFonts w:cstheme="minorHAnsi"/>
          <w:sz w:val="24"/>
          <w:szCs w:val="24"/>
        </w:rPr>
        <w:t xml:space="preserve">about how ETI affects the nutrition needs of children with CF, should current nutrition advice </w:t>
      </w:r>
      <w:r w:rsidR="0083143F" w:rsidRPr="00A725F4">
        <w:rPr>
          <w:rFonts w:cstheme="minorHAnsi"/>
          <w:sz w:val="24"/>
          <w:szCs w:val="24"/>
        </w:rPr>
        <w:t>change</w:t>
      </w:r>
      <w:r w:rsidRPr="00A725F4">
        <w:rPr>
          <w:rFonts w:cstheme="minorHAnsi"/>
          <w:sz w:val="24"/>
          <w:szCs w:val="24"/>
        </w:rPr>
        <w:t xml:space="preserve">, and </w:t>
      </w:r>
      <w:r w:rsidR="0083143F" w:rsidRPr="00A725F4">
        <w:rPr>
          <w:rFonts w:cstheme="minorHAnsi"/>
          <w:sz w:val="24"/>
          <w:szCs w:val="24"/>
        </w:rPr>
        <w:t xml:space="preserve">where is more research still needed? </w:t>
      </w:r>
    </w:p>
    <w:p w14:paraId="301DB3A2" w14:textId="77777777" w:rsidR="00D51E1D" w:rsidRPr="00A725F4" w:rsidRDefault="00D51E1D" w:rsidP="00A725F4">
      <w:pPr>
        <w:spacing w:after="0" w:line="240" w:lineRule="auto"/>
        <w:jc w:val="both"/>
        <w:rPr>
          <w:rFonts w:cstheme="minorHAnsi"/>
          <w:sz w:val="24"/>
          <w:szCs w:val="24"/>
        </w:rPr>
      </w:pPr>
    </w:p>
    <w:p w14:paraId="1AEC8E56" w14:textId="77777777" w:rsidR="00656732" w:rsidRPr="00A725F4" w:rsidRDefault="00656732" w:rsidP="00A725F4">
      <w:pPr>
        <w:spacing w:after="0" w:line="240" w:lineRule="auto"/>
        <w:jc w:val="both"/>
        <w:rPr>
          <w:rFonts w:cstheme="minorHAnsi"/>
          <w:b/>
          <w:sz w:val="24"/>
          <w:szCs w:val="24"/>
        </w:rPr>
      </w:pPr>
    </w:p>
    <w:p w14:paraId="22D21517" w14:textId="3319C573" w:rsidR="00540382" w:rsidRPr="00A725F4" w:rsidRDefault="0098362B" w:rsidP="00A725F4">
      <w:pPr>
        <w:spacing w:after="0" w:line="240" w:lineRule="auto"/>
        <w:jc w:val="both"/>
        <w:rPr>
          <w:rFonts w:cstheme="minorHAnsi"/>
          <w:b/>
          <w:sz w:val="28"/>
          <w:szCs w:val="28"/>
        </w:rPr>
      </w:pPr>
      <w:r w:rsidRPr="00A725F4">
        <w:rPr>
          <w:rFonts w:cstheme="minorHAnsi"/>
          <w:b/>
          <w:sz w:val="28"/>
          <w:szCs w:val="28"/>
        </w:rPr>
        <w:lastRenderedPageBreak/>
        <w:t>Why is this important?</w:t>
      </w:r>
      <w:r w:rsidR="00540382" w:rsidRPr="00A725F4">
        <w:rPr>
          <w:rFonts w:cstheme="minorHAnsi"/>
          <w:b/>
          <w:sz w:val="28"/>
          <w:szCs w:val="28"/>
        </w:rPr>
        <w:t xml:space="preserve"> </w:t>
      </w:r>
    </w:p>
    <w:p w14:paraId="5B08D8BD" w14:textId="0F33A4B7" w:rsidR="0098362B" w:rsidRPr="00A725F4" w:rsidRDefault="004B0524" w:rsidP="00A725F4">
      <w:pPr>
        <w:spacing w:after="0" w:line="240" w:lineRule="auto"/>
        <w:jc w:val="both"/>
        <w:rPr>
          <w:rFonts w:cstheme="minorHAnsi"/>
          <w:sz w:val="24"/>
          <w:szCs w:val="24"/>
        </w:rPr>
      </w:pPr>
      <w:r w:rsidRPr="00A725F4">
        <w:rPr>
          <w:rFonts w:cstheme="minorHAnsi"/>
          <w:sz w:val="24"/>
          <w:szCs w:val="24"/>
        </w:rPr>
        <w:t>Good nutrition plays a key role in helping children with cystic fibrosis stay as healthy as possible. It supports lung health, growth, development, and long-term wellbeing. Current CF nutrition guidelines were developed before new treatments like ETI were available. We now know that ETI can change nutrition needs. However, there are no nutrition guidelines specifically for children taking ETI. This makes it challenging for healthcare teams to provide the best nutrition advice and care.</w:t>
      </w:r>
    </w:p>
    <w:p w14:paraId="1D0BEFE6" w14:textId="77777777" w:rsidR="00C9743F" w:rsidRPr="00A725F4" w:rsidRDefault="00C9743F" w:rsidP="00A725F4">
      <w:pPr>
        <w:spacing w:after="0" w:line="240" w:lineRule="auto"/>
        <w:jc w:val="both"/>
        <w:rPr>
          <w:rFonts w:cstheme="minorHAnsi"/>
          <w:b/>
          <w:sz w:val="24"/>
          <w:szCs w:val="24"/>
        </w:rPr>
      </w:pPr>
    </w:p>
    <w:p w14:paraId="71BF3942" w14:textId="7EB89694" w:rsidR="00540382" w:rsidRPr="00A725F4" w:rsidRDefault="0098362B" w:rsidP="00A725F4">
      <w:pPr>
        <w:spacing w:after="0" w:line="240" w:lineRule="auto"/>
        <w:jc w:val="both"/>
        <w:rPr>
          <w:rFonts w:cstheme="minorHAnsi"/>
          <w:b/>
          <w:i/>
          <w:sz w:val="28"/>
          <w:szCs w:val="28"/>
        </w:rPr>
      </w:pPr>
      <w:r w:rsidRPr="00A725F4">
        <w:rPr>
          <w:rFonts w:cstheme="minorHAnsi"/>
          <w:b/>
          <w:sz w:val="28"/>
          <w:szCs w:val="28"/>
        </w:rPr>
        <w:t>What did you do?</w:t>
      </w:r>
      <w:r w:rsidR="00540382" w:rsidRPr="00A725F4">
        <w:rPr>
          <w:rFonts w:cstheme="minorHAnsi"/>
          <w:b/>
          <w:sz w:val="28"/>
          <w:szCs w:val="28"/>
        </w:rPr>
        <w:t xml:space="preserve"> </w:t>
      </w:r>
    </w:p>
    <w:p w14:paraId="2B5CC451" w14:textId="0484BECD" w:rsidR="00C9743F" w:rsidRPr="00A725F4" w:rsidRDefault="00B155ED" w:rsidP="00A725F4">
      <w:pPr>
        <w:jc w:val="both"/>
        <w:rPr>
          <w:rFonts w:cstheme="minorHAnsi"/>
          <w:sz w:val="24"/>
          <w:szCs w:val="24"/>
        </w:rPr>
      </w:pPr>
      <w:r w:rsidRPr="00A725F4">
        <w:rPr>
          <w:rFonts w:cstheme="minorHAnsi"/>
          <w:sz w:val="24"/>
          <w:szCs w:val="24"/>
        </w:rPr>
        <w:t>We brought together 22</w:t>
      </w:r>
      <w:r w:rsidR="004A68BC" w:rsidRPr="00A725F4">
        <w:rPr>
          <w:rFonts w:cstheme="minorHAnsi"/>
          <w:sz w:val="24"/>
          <w:szCs w:val="24"/>
        </w:rPr>
        <w:t xml:space="preserve"> experts</w:t>
      </w:r>
      <w:r w:rsidRPr="00A725F4">
        <w:rPr>
          <w:rFonts w:cstheme="minorHAnsi"/>
          <w:sz w:val="24"/>
          <w:szCs w:val="24"/>
        </w:rPr>
        <w:t xml:space="preserve"> from around the world with experience in cystic fibrosis (CF) and nutrition. This group included dietitians, doctors who specialise in lung and gut health, and a parent of a child with CF. Together, we agreed on the most important questions about nutrition and ETI. We then reviewed the research studies that were available and used this evidence to help develop nutrition guidance for children with CF taking ETI. When there was limited research, we also drew on the group’s clinical experience. Draft statements were developed in smaller groups and then shared with the full group for voting.</w:t>
      </w:r>
    </w:p>
    <w:p w14:paraId="584AAFED" w14:textId="0A75A8C0" w:rsidR="00540382" w:rsidRPr="00A725F4" w:rsidRDefault="0098362B" w:rsidP="00A725F4">
      <w:pPr>
        <w:spacing w:after="0" w:line="240" w:lineRule="auto"/>
        <w:jc w:val="both"/>
        <w:rPr>
          <w:rFonts w:cstheme="minorHAnsi"/>
          <w:b/>
          <w:i/>
          <w:sz w:val="28"/>
          <w:szCs w:val="28"/>
        </w:rPr>
      </w:pPr>
      <w:r w:rsidRPr="00A725F4">
        <w:rPr>
          <w:rFonts w:cstheme="minorHAnsi"/>
          <w:b/>
          <w:sz w:val="28"/>
          <w:szCs w:val="28"/>
        </w:rPr>
        <w:t>What did you find?</w:t>
      </w:r>
      <w:r w:rsidR="00540382" w:rsidRPr="00A725F4">
        <w:rPr>
          <w:rFonts w:cstheme="minorHAnsi"/>
          <w:b/>
          <w:sz w:val="28"/>
          <w:szCs w:val="28"/>
        </w:rPr>
        <w:t xml:space="preserve"> </w:t>
      </w:r>
    </w:p>
    <w:p w14:paraId="2CC3AA98" w14:textId="54FDAB67" w:rsidR="00A725F4" w:rsidRPr="00A725F4" w:rsidRDefault="0097285E" w:rsidP="00A725F4">
      <w:pPr>
        <w:jc w:val="both"/>
        <w:rPr>
          <w:rFonts w:cstheme="minorHAnsi"/>
          <w:sz w:val="24"/>
          <w:szCs w:val="24"/>
        </w:rPr>
      </w:pPr>
      <w:r w:rsidRPr="00A725F4">
        <w:rPr>
          <w:rFonts w:cstheme="minorHAnsi"/>
          <w:sz w:val="24"/>
          <w:szCs w:val="24"/>
        </w:rPr>
        <w:t>We only found 28 research studies on ETI and nutrition, so many questions had to be answered using the shared experience of the expert group. Together, we developed 67 nutrition statements. Each statement was voted on and approved, with more than 80% of the group agreeing or strongly agreeing. We also highlighted important nutrition questions that still do not have clear answers and ranked the most urgent areas for future research. These include whether new BMI targets are needed, how pancreatic function changes on ETI, and how much salt children with CF now require.</w:t>
      </w:r>
    </w:p>
    <w:p w14:paraId="33103A36" w14:textId="5BD81F71" w:rsidR="00540382" w:rsidRPr="00A725F4" w:rsidRDefault="0098362B" w:rsidP="00A725F4">
      <w:pPr>
        <w:spacing w:after="0" w:line="240" w:lineRule="auto"/>
        <w:jc w:val="both"/>
        <w:rPr>
          <w:rFonts w:cstheme="minorHAnsi"/>
          <w:b/>
          <w:i/>
          <w:sz w:val="24"/>
          <w:szCs w:val="24"/>
        </w:rPr>
      </w:pPr>
      <w:r w:rsidRPr="00A725F4">
        <w:rPr>
          <w:rFonts w:cstheme="minorHAnsi"/>
          <w:b/>
          <w:sz w:val="28"/>
          <w:szCs w:val="28"/>
        </w:rPr>
        <w:t>What does this mean and reasons for caution?</w:t>
      </w:r>
      <w:r w:rsidR="00540382" w:rsidRPr="00A725F4">
        <w:rPr>
          <w:rFonts w:cstheme="minorHAnsi"/>
          <w:b/>
          <w:sz w:val="24"/>
          <w:szCs w:val="24"/>
        </w:rPr>
        <w:t xml:space="preserve"> </w:t>
      </w:r>
    </w:p>
    <w:p w14:paraId="3F792049" w14:textId="7DB1E427" w:rsidR="00B155ED" w:rsidRPr="00A725F4" w:rsidRDefault="007A3DF6" w:rsidP="00A725F4">
      <w:pPr>
        <w:spacing w:after="0" w:line="240" w:lineRule="auto"/>
        <w:jc w:val="both"/>
        <w:rPr>
          <w:rFonts w:cstheme="minorHAnsi"/>
          <w:sz w:val="24"/>
          <w:szCs w:val="24"/>
        </w:rPr>
      </w:pPr>
      <w:r w:rsidRPr="00A725F4">
        <w:rPr>
          <w:rFonts w:cstheme="minorHAnsi"/>
          <w:sz w:val="24"/>
          <w:szCs w:val="24"/>
        </w:rPr>
        <w:t>This work provides the first international guidance to help health professionals support the nutrition</w:t>
      </w:r>
      <w:r w:rsidR="004A68BC" w:rsidRPr="00A725F4">
        <w:rPr>
          <w:rFonts w:cstheme="minorHAnsi"/>
          <w:sz w:val="24"/>
          <w:szCs w:val="24"/>
        </w:rPr>
        <w:t xml:space="preserve"> and growth</w:t>
      </w:r>
      <w:r w:rsidRPr="00A725F4">
        <w:rPr>
          <w:rFonts w:cstheme="minorHAnsi"/>
          <w:sz w:val="24"/>
          <w:szCs w:val="24"/>
        </w:rPr>
        <w:t xml:space="preserve"> of children with </w:t>
      </w:r>
      <w:r w:rsidR="0026081C" w:rsidRPr="00A725F4">
        <w:rPr>
          <w:rFonts w:cstheme="minorHAnsi"/>
          <w:sz w:val="24"/>
          <w:szCs w:val="24"/>
        </w:rPr>
        <w:t>CF</w:t>
      </w:r>
      <w:r w:rsidRPr="00A725F4">
        <w:rPr>
          <w:rFonts w:cstheme="minorHAnsi"/>
          <w:sz w:val="24"/>
          <w:szCs w:val="24"/>
        </w:rPr>
        <w:t xml:space="preserve"> taking ETI. It offers practical advice to guide care now, but it is not the final word. Because there is still limited research in this area, some recommendations are based on expert experience rather than strong evidence. As more studies are completed, our understanding of nutrition needs is likely to change. For this reason, the guidance should be used with care and updated over time as new evidence becomes available.</w:t>
      </w:r>
    </w:p>
    <w:p w14:paraId="4B602640" w14:textId="77777777" w:rsidR="007A3DF6" w:rsidRPr="00A725F4" w:rsidRDefault="007A3DF6" w:rsidP="00A725F4">
      <w:pPr>
        <w:spacing w:after="0" w:line="240" w:lineRule="auto"/>
        <w:jc w:val="both"/>
        <w:rPr>
          <w:rFonts w:cstheme="minorHAnsi"/>
          <w:b/>
          <w:sz w:val="24"/>
          <w:szCs w:val="24"/>
        </w:rPr>
      </w:pPr>
    </w:p>
    <w:p w14:paraId="635AB057" w14:textId="0D3B2598" w:rsidR="00540382" w:rsidRPr="00A725F4" w:rsidRDefault="0098362B" w:rsidP="00A725F4">
      <w:pPr>
        <w:spacing w:after="0" w:line="240" w:lineRule="auto"/>
        <w:jc w:val="both"/>
        <w:rPr>
          <w:rFonts w:cstheme="minorHAnsi"/>
          <w:b/>
          <w:sz w:val="24"/>
          <w:szCs w:val="24"/>
        </w:rPr>
      </w:pPr>
      <w:r w:rsidRPr="00A725F4">
        <w:rPr>
          <w:rFonts w:cstheme="minorHAnsi"/>
          <w:b/>
          <w:sz w:val="28"/>
          <w:szCs w:val="28"/>
        </w:rPr>
        <w:lastRenderedPageBreak/>
        <w:t>What’s next?</w:t>
      </w:r>
      <w:r w:rsidR="00540382" w:rsidRPr="00A725F4">
        <w:rPr>
          <w:rFonts w:cstheme="minorHAnsi"/>
          <w:b/>
          <w:sz w:val="24"/>
          <w:szCs w:val="24"/>
        </w:rPr>
        <w:t xml:space="preserve"> </w:t>
      </w:r>
    </w:p>
    <w:p w14:paraId="5ED1AA3A" w14:textId="048101A3" w:rsidR="004C0EC8" w:rsidRDefault="00956341" w:rsidP="00A725F4">
      <w:pPr>
        <w:jc w:val="both"/>
        <w:rPr>
          <w:rFonts w:cstheme="minorHAnsi"/>
          <w:sz w:val="24"/>
          <w:szCs w:val="24"/>
        </w:rPr>
      </w:pPr>
      <w:r w:rsidRPr="00A725F4">
        <w:rPr>
          <w:rFonts w:cstheme="minorHAnsi"/>
          <w:sz w:val="24"/>
          <w:szCs w:val="24"/>
        </w:rPr>
        <w:t>We hope this guidance helps CF care teams support good nutrition for children taking ETI. Good nutrition and growth remain central to CF care, but we are still learning what changes are needed with ETI. As new research fills current gaps, recommendations will continue to evolve and improve.</w:t>
      </w:r>
    </w:p>
    <w:p w14:paraId="0C13202D" w14:textId="77777777" w:rsidR="0030601D" w:rsidRDefault="0030601D" w:rsidP="00A725F4">
      <w:pPr>
        <w:jc w:val="both"/>
        <w:rPr>
          <w:rFonts w:cstheme="minorHAnsi"/>
          <w:sz w:val="24"/>
          <w:szCs w:val="24"/>
        </w:rPr>
      </w:pPr>
    </w:p>
    <w:p w14:paraId="45813CB9" w14:textId="77777777" w:rsidR="0030601D" w:rsidRDefault="004C0EC8" w:rsidP="004C0EC8">
      <w:pPr>
        <w:jc w:val="both"/>
        <w:rPr>
          <w:rFonts w:cstheme="minorHAnsi"/>
          <w:b/>
          <w:sz w:val="28"/>
          <w:szCs w:val="28"/>
        </w:rPr>
      </w:pPr>
      <w:r w:rsidRPr="004C0EC8">
        <w:rPr>
          <w:rFonts w:cstheme="minorHAnsi"/>
          <w:b/>
          <w:sz w:val="28"/>
          <w:szCs w:val="28"/>
        </w:rPr>
        <w:t>Original manuscript citation in PubMed</w:t>
      </w:r>
      <w:r w:rsidRPr="004C0EC8">
        <w:rPr>
          <w:rFonts w:cstheme="minorHAnsi"/>
          <w:b/>
          <w:sz w:val="28"/>
          <w:szCs w:val="28"/>
        </w:rPr>
        <w:t>:</w:t>
      </w:r>
    </w:p>
    <w:p w14:paraId="6AC641B7" w14:textId="3487A908" w:rsidR="0030601D" w:rsidRPr="0030601D" w:rsidRDefault="0030601D" w:rsidP="004C0EC8">
      <w:pPr>
        <w:jc w:val="both"/>
        <w:rPr>
          <w:rFonts w:cstheme="minorHAnsi"/>
          <w:b/>
          <w:sz w:val="28"/>
          <w:szCs w:val="28"/>
        </w:rPr>
      </w:pPr>
      <w:hyperlink r:id="rId10" w:history="1">
        <w:r w:rsidRPr="00D10EEB">
          <w:rPr>
            <w:rStyle w:val="Hyperlink"/>
            <w:rFonts w:cstheme="minorHAnsi"/>
            <w:bCs/>
            <w:sz w:val="24"/>
            <w:szCs w:val="24"/>
          </w:rPr>
          <w:t>https://pubmed.ncbi.nlm.nih.gov/41702741</w:t>
        </w:r>
        <w:r w:rsidRPr="00D10EEB">
          <w:rPr>
            <w:rStyle w:val="Hyperlink"/>
            <w:rFonts w:cstheme="minorHAnsi"/>
            <w:bCs/>
            <w:sz w:val="24"/>
            <w:szCs w:val="24"/>
          </w:rPr>
          <w:t>/</w:t>
        </w:r>
      </w:hyperlink>
    </w:p>
    <w:p w14:paraId="3B1E75B8" w14:textId="77777777" w:rsidR="0030601D" w:rsidRDefault="0030601D" w:rsidP="004C0EC8">
      <w:pPr>
        <w:jc w:val="both"/>
        <w:rPr>
          <w:rFonts w:cstheme="minorHAnsi"/>
          <w:b/>
          <w:sz w:val="28"/>
          <w:szCs w:val="28"/>
        </w:rPr>
      </w:pPr>
    </w:p>
    <w:p w14:paraId="59BB6067" w14:textId="77777777" w:rsidR="004C0EC8" w:rsidRPr="004C0EC8" w:rsidRDefault="004C0EC8" w:rsidP="004C0EC8">
      <w:pPr>
        <w:jc w:val="both"/>
        <w:rPr>
          <w:rFonts w:cstheme="minorHAnsi"/>
          <w:b/>
          <w:sz w:val="28"/>
          <w:szCs w:val="28"/>
        </w:rPr>
      </w:pPr>
    </w:p>
    <w:p w14:paraId="1E2894DF" w14:textId="77777777" w:rsidR="004C0EC8" w:rsidRPr="004C0EC8" w:rsidRDefault="004C0EC8" w:rsidP="004C0EC8">
      <w:pPr>
        <w:jc w:val="both"/>
        <w:rPr>
          <w:rFonts w:cstheme="minorHAnsi"/>
          <w:b/>
          <w:sz w:val="24"/>
          <w:szCs w:val="24"/>
        </w:rPr>
      </w:pPr>
    </w:p>
    <w:p w14:paraId="391227A2" w14:textId="77777777" w:rsidR="004C0EC8" w:rsidRPr="00A725F4" w:rsidRDefault="004C0EC8" w:rsidP="00A725F4">
      <w:pPr>
        <w:jc w:val="both"/>
        <w:rPr>
          <w:rFonts w:cstheme="minorHAnsi"/>
          <w:sz w:val="24"/>
          <w:szCs w:val="24"/>
        </w:rPr>
      </w:pPr>
    </w:p>
    <w:sectPr w:rsidR="004C0EC8" w:rsidRPr="00A725F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A1B7" w14:textId="77777777" w:rsidR="000F2B25" w:rsidRDefault="000F2B25" w:rsidP="008B1278">
      <w:pPr>
        <w:spacing w:after="0" w:line="240" w:lineRule="auto"/>
      </w:pPr>
      <w:r>
        <w:separator/>
      </w:r>
    </w:p>
  </w:endnote>
  <w:endnote w:type="continuationSeparator" w:id="0">
    <w:p w14:paraId="7DC4118D" w14:textId="77777777" w:rsidR="000F2B25" w:rsidRDefault="000F2B25"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4553" w14:textId="77777777" w:rsidR="000F2B25" w:rsidRDefault="000F2B25" w:rsidP="008B1278">
      <w:pPr>
        <w:spacing w:after="0" w:line="240" w:lineRule="auto"/>
      </w:pPr>
      <w:r>
        <w:separator/>
      </w:r>
    </w:p>
  </w:footnote>
  <w:footnote w:type="continuationSeparator" w:id="0">
    <w:p w14:paraId="710DA181" w14:textId="77777777" w:rsidR="000F2B25" w:rsidRDefault="000F2B25"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E1C"/>
    <w:multiLevelType w:val="multilevel"/>
    <w:tmpl w:val="86B8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6B1F78"/>
    <w:multiLevelType w:val="hybridMultilevel"/>
    <w:tmpl w:val="A80442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CF2091C"/>
    <w:multiLevelType w:val="multilevel"/>
    <w:tmpl w:val="3078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094597">
    <w:abstractNumId w:val="2"/>
  </w:num>
  <w:num w:numId="2" w16cid:durableId="141122047">
    <w:abstractNumId w:val="1"/>
  </w:num>
  <w:num w:numId="3" w16cid:durableId="214519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F2B25"/>
    <w:rsid w:val="001044E3"/>
    <w:rsid w:val="00156404"/>
    <w:rsid w:val="001669D5"/>
    <w:rsid w:val="001D5C7E"/>
    <w:rsid w:val="00257E89"/>
    <w:rsid w:val="0026081C"/>
    <w:rsid w:val="002F47D8"/>
    <w:rsid w:val="0030601D"/>
    <w:rsid w:val="0032190B"/>
    <w:rsid w:val="003878DA"/>
    <w:rsid w:val="0049290B"/>
    <w:rsid w:val="004A68BC"/>
    <w:rsid w:val="004B0524"/>
    <w:rsid w:val="004C0EC8"/>
    <w:rsid w:val="00510DA6"/>
    <w:rsid w:val="00540382"/>
    <w:rsid w:val="0054273A"/>
    <w:rsid w:val="005B3674"/>
    <w:rsid w:val="00656732"/>
    <w:rsid w:val="006A594A"/>
    <w:rsid w:val="006A7976"/>
    <w:rsid w:val="006B2C9B"/>
    <w:rsid w:val="006E05B9"/>
    <w:rsid w:val="006E32C5"/>
    <w:rsid w:val="00717EB1"/>
    <w:rsid w:val="00770268"/>
    <w:rsid w:val="00776DD6"/>
    <w:rsid w:val="007A3DF6"/>
    <w:rsid w:val="007B7B97"/>
    <w:rsid w:val="007C34C3"/>
    <w:rsid w:val="007E56C1"/>
    <w:rsid w:val="00816BFA"/>
    <w:rsid w:val="0083143F"/>
    <w:rsid w:val="008B1278"/>
    <w:rsid w:val="00937CA9"/>
    <w:rsid w:val="00956341"/>
    <w:rsid w:val="0097285E"/>
    <w:rsid w:val="0098362B"/>
    <w:rsid w:val="009D665C"/>
    <w:rsid w:val="00A725F4"/>
    <w:rsid w:val="00AB55C6"/>
    <w:rsid w:val="00B155ED"/>
    <w:rsid w:val="00BE4034"/>
    <w:rsid w:val="00C339F3"/>
    <w:rsid w:val="00C9743F"/>
    <w:rsid w:val="00CF30A7"/>
    <w:rsid w:val="00D36443"/>
    <w:rsid w:val="00D36FED"/>
    <w:rsid w:val="00D51E1D"/>
    <w:rsid w:val="00D578D8"/>
    <w:rsid w:val="00D91F34"/>
    <w:rsid w:val="00E00EFF"/>
    <w:rsid w:val="00F00686"/>
    <w:rsid w:val="00F80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paragraph" w:styleId="ListParagraph">
    <w:name w:val="List Paragraph"/>
    <w:basedOn w:val="Normal"/>
    <w:uiPriority w:val="34"/>
    <w:qFormat/>
    <w:rsid w:val="00656732"/>
    <w:pPr>
      <w:ind w:left="720"/>
      <w:contextualSpacing/>
    </w:pPr>
  </w:style>
  <w:style w:type="character" w:styleId="UnresolvedMention">
    <w:name w:val="Unresolved Mention"/>
    <w:basedOn w:val="DefaultParagraphFont"/>
    <w:uiPriority w:val="99"/>
    <w:semiHidden/>
    <w:unhideWhenUsed/>
    <w:rsid w:val="00306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ubmed.ncbi.nlm.nih.gov/4170274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ea2731a4e450b658c3630d847925172a">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6880c8dfb5d73296e1057f67077ae041"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D2CCC-EFED-4A34-9776-555C2512AF20}"/>
</file>

<file path=customXml/itemProps2.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3.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docMetadata/LabelInfo.xml><?xml version="1.0" encoding="utf-8"?>
<clbl:labelList xmlns:clbl="http://schemas.microsoft.com/office/2020/mipLabelMetadata">
  <clbl:label id="{1a229230-59b3-4fd8-af36-138931aade8d}" enabled="1" method="Standard" siteId="{a79016de-bdd0-4e47-91f4-79416ab912ad}" contentBits="0" removed="0"/>
</clbl:labelList>
</file>

<file path=docProps/app.xml><?xml version="1.0" encoding="utf-8"?>
<Properties xmlns="http://schemas.openxmlformats.org/officeDocument/2006/extended-properties" xmlns:vt="http://schemas.openxmlformats.org/officeDocument/2006/docPropsVTypes">
  <Template>letterhead_questions</Template>
  <TotalTime>6</TotalTime>
  <Pages>4</Pages>
  <Words>936</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8</cp:revision>
  <dcterms:created xsi:type="dcterms:W3CDTF">2026-02-22T21:52:00Z</dcterms:created>
  <dcterms:modified xsi:type="dcterms:W3CDTF">2026-03-17T09:59:00Z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y fmtid="{D5CDD505-2E9C-101B-9397-08002B2CF9AE}" pid="4" name="MSIP_Label_76a44f01-6907-4156-9b79-a71e6c56ad93_Enabled">
    <vt:lpwstr>true</vt:lpwstr>
  </property>
  <property fmtid="{D5CDD505-2E9C-101B-9397-08002B2CF9AE}" pid="5" name="MSIP_Label_76a44f01-6907-4156-9b79-a71e6c56ad93_SetDate">
    <vt:lpwstr>2026-02-09T21:08:36Z</vt:lpwstr>
  </property>
  <property fmtid="{D5CDD505-2E9C-101B-9397-08002B2CF9AE}" pid="6" name="MSIP_Label_76a44f01-6907-4156-9b79-a71e6c56ad93_Method">
    <vt:lpwstr>Privileged</vt:lpwstr>
  </property>
  <property fmtid="{D5CDD505-2E9C-101B-9397-08002B2CF9AE}" pid="7" name="MSIP_Label_76a44f01-6907-4156-9b79-a71e6c56ad93_Name">
    <vt:lpwstr>OFFICIAL</vt:lpwstr>
  </property>
  <property fmtid="{D5CDD505-2E9C-101B-9397-08002B2CF9AE}" pid="8" name="MSIP_Label_76a44f01-6907-4156-9b79-a71e6c56ad93_SiteId">
    <vt:lpwstr>a687a7bf-02db-43df-bcbb-e7a8bda611a2</vt:lpwstr>
  </property>
  <property fmtid="{D5CDD505-2E9C-101B-9397-08002B2CF9AE}" pid="9" name="MSIP_Label_76a44f01-6907-4156-9b79-a71e6c56ad93_ActionId">
    <vt:lpwstr>1188db15-a3a8-4481-b727-043d894827ae</vt:lpwstr>
  </property>
  <property fmtid="{D5CDD505-2E9C-101B-9397-08002B2CF9AE}" pid="10" name="MSIP_Label_76a44f01-6907-4156-9b79-a71e6c56ad93_ContentBits">
    <vt:lpwstr>0</vt:lpwstr>
  </property>
  <property fmtid="{D5CDD505-2E9C-101B-9397-08002B2CF9AE}" pid="11" name="MSIP_Label_76a44f01-6907-4156-9b79-a71e6c56ad93_Tag">
    <vt:lpwstr>10, 0, 1, 1</vt:lpwstr>
  </property>
</Properties>
</file>