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577E5" w14:textId="7EA00D16" w:rsidR="006A7976" w:rsidRPr="00B426F8" w:rsidRDefault="0098362B" w:rsidP="00B426F8">
      <w:pPr>
        <w:spacing w:line="240" w:lineRule="auto"/>
        <w:jc w:val="both"/>
        <w:rPr>
          <w:b/>
          <w:bCs/>
          <w:sz w:val="24"/>
          <w:szCs w:val="24"/>
          <w:lang w:val="en-US"/>
        </w:rPr>
      </w:pPr>
      <w:r w:rsidRPr="0098362B">
        <w:rPr>
          <w:b/>
          <w:sz w:val="28"/>
          <w:szCs w:val="28"/>
        </w:rPr>
        <w:t>Title:</w:t>
      </w:r>
      <w:r w:rsidR="00F3428D">
        <w:rPr>
          <w:b/>
          <w:sz w:val="28"/>
          <w:szCs w:val="28"/>
        </w:rPr>
        <w:t xml:space="preserve"> </w:t>
      </w:r>
      <w:r w:rsidR="00F3428D" w:rsidRPr="00B426F8">
        <w:rPr>
          <w:sz w:val="24"/>
          <w:szCs w:val="24"/>
        </w:rPr>
        <w:t xml:space="preserve">CFTR during pregnancy and adverse drug reactions: A pharmacovigilance disproportionality analysis in </w:t>
      </w:r>
      <w:proofErr w:type="spellStart"/>
      <w:r w:rsidR="00F3428D" w:rsidRPr="00B426F8">
        <w:rPr>
          <w:sz w:val="24"/>
          <w:szCs w:val="24"/>
        </w:rPr>
        <w:t>VigiBase</w:t>
      </w:r>
      <w:proofErr w:type="spellEnd"/>
    </w:p>
    <w:p w14:paraId="4DC13F1F" w14:textId="430898A0" w:rsidR="006A7976" w:rsidRPr="00B426F8" w:rsidRDefault="006A7976" w:rsidP="00B426F8">
      <w:pPr>
        <w:spacing w:after="0" w:line="240" w:lineRule="auto"/>
        <w:jc w:val="both"/>
        <w:rPr>
          <w:b/>
          <w:sz w:val="24"/>
          <w:szCs w:val="24"/>
        </w:rPr>
      </w:pPr>
      <w:r>
        <w:rPr>
          <w:b/>
          <w:sz w:val="28"/>
          <w:szCs w:val="28"/>
        </w:rPr>
        <w:t>Lay Title:</w:t>
      </w:r>
      <w:r w:rsidR="00F3428D">
        <w:rPr>
          <w:b/>
          <w:sz w:val="28"/>
          <w:szCs w:val="28"/>
        </w:rPr>
        <w:t xml:space="preserve"> </w:t>
      </w:r>
      <w:r w:rsidR="00F3428D" w:rsidRPr="00B426F8">
        <w:rPr>
          <w:sz w:val="24"/>
          <w:szCs w:val="24"/>
        </w:rPr>
        <w:t>Safety of CFTR modulator treatments during pregnancy: what global safety reports tell us</w:t>
      </w:r>
    </w:p>
    <w:p w14:paraId="2C518F27" w14:textId="77777777" w:rsidR="0098362B" w:rsidRPr="0098362B" w:rsidRDefault="0098362B" w:rsidP="00540382">
      <w:pPr>
        <w:spacing w:after="0" w:line="240" w:lineRule="auto"/>
        <w:rPr>
          <w:b/>
          <w:sz w:val="28"/>
          <w:szCs w:val="28"/>
        </w:rPr>
      </w:pPr>
    </w:p>
    <w:p w14:paraId="4FED8875" w14:textId="5F50A03C" w:rsidR="0098362B" w:rsidRPr="00B426F8" w:rsidRDefault="0098362B" w:rsidP="00F13132">
      <w:pPr>
        <w:spacing w:after="0" w:line="240" w:lineRule="auto"/>
        <w:jc w:val="both"/>
        <w:rPr>
          <w:b/>
          <w:sz w:val="24"/>
          <w:szCs w:val="24"/>
        </w:rPr>
      </w:pPr>
      <w:r w:rsidRPr="0098362B">
        <w:rPr>
          <w:b/>
          <w:sz w:val="28"/>
          <w:szCs w:val="28"/>
        </w:rPr>
        <w:t>Authors:</w:t>
      </w:r>
      <w:r w:rsidR="00F13132">
        <w:rPr>
          <w:b/>
          <w:sz w:val="28"/>
          <w:szCs w:val="28"/>
        </w:rPr>
        <w:t xml:space="preserve"> </w:t>
      </w:r>
      <w:hyperlink r:id="rId10" w:history="1">
        <w:r w:rsidR="00F3428D" w:rsidRPr="00B426F8">
          <w:rPr>
            <w:sz w:val="24"/>
            <w:szCs w:val="24"/>
          </w:rPr>
          <w:t>Nazanin Abolhassani</w:t>
        </w:r>
      </w:hyperlink>
      <w:r w:rsidR="00F3428D" w:rsidRPr="00B426F8">
        <w:rPr>
          <w:b/>
          <w:sz w:val="24"/>
          <w:szCs w:val="24"/>
        </w:rPr>
        <w:t> </w:t>
      </w:r>
      <w:hyperlink r:id="rId11" w:anchor="full-view-affiliation-1" w:tooltip="Institute of Primary Health Care (BIHAM), University of Bern, Bern, Switzerland." w:history="1">
        <w:r w:rsidR="00F3428D" w:rsidRPr="00B426F8">
          <w:rPr>
            <w:sz w:val="24"/>
            <w:szCs w:val="24"/>
          </w:rPr>
          <w:t>1</w:t>
        </w:r>
      </w:hyperlink>
      <w:r w:rsidR="00F3428D" w:rsidRPr="00B426F8">
        <w:rPr>
          <w:b/>
          <w:sz w:val="24"/>
          <w:szCs w:val="24"/>
        </w:rPr>
        <w:t>, </w:t>
      </w:r>
      <w:hyperlink r:id="rId12" w:history="1">
        <w:r w:rsidR="00F3428D" w:rsidRPr="00B426F8">
          <w:rPr>
            <w:sz w:val="24"/>
            <w:szCs w:val="24"/>
          </w:rPr>
          <w:t>Kim Dao</w:t>
        </w:r>
      </w:hyperlink>
      <w:r w:rsidR="00F3428D" w:rsidRPr="00B426F8">
        <w:rPr>
          <w:b/>
          <w:sz w:val="24"/>
          <w:szCs w:val="24"/>
        </w:rPr>
        <w:t> </w:t>
      </w:r>
      <w:hyperlink r:id="rId13" w:anchor="full-view-affiliation-2" w:tooltip="Swiss Teratogen Information Service and Clinical Pharmacology Service, Centre Hospitalier Universitaire Vaudois (CHUV) and University of Lausanne, Lausanne, Switzerland." w:history="1">
        <w:r w:rsidR="00F3428D" w:rsidRPr="00B426F8">
          <w:rPr>
            <w:sz w:val="24"/>
            <w:szCs w:val="24"/>
          </w:rPr>
          <w:t>2</w:t>
        </w:r>
      </w:hyperlink>
      <w:r w:rsidR="00F3428D" w:rsidRPr="00B426F8">
        <w:rPr>
          <w:b/>
          <w:sz w:val="24"/>
          <w:szCs w:val="24"/>
        </w:rPr>
        <w:t>, </w:t>
      </w:r>
      <w:hyperlink r:id="rId14" w:history="1">
        <w:r w:rsidR="00F3428D" w:rsidRPr="00B426F8">
          <w:rPr>
            <w:sz w:val="24"/>
            <w:szCs w:val="24"/>
          </w:rPr>
          <w:t>Roberta Noseda</w:t>
        </w:r>
      </w:hyperlink>
      <w:r w:rsidR="00F3428D" w:rsidRPr="00B426F8">
        <w:rPr>
          <w:b/>
          <w:sz w:val="24"/>
          <w:szCs w:val="24"/>
        </w:rPr>
        <w:t> </w:t>
      </w:r>
      <w:hyperlink r:id="rId15" w:anchor="full-view-affiliation-3" w:tooltip="Division of Clinical Pharmacology and Toxicology, Institute of Pharmacological Sciences of Southern Switzerland, Ente Ospedaliero Cantonale, Lugano, Switzerland." w:history="1">
        <w:r w:rsidR="00F3428D" w:rsidRPr="00B426F8">
          <w:rPr>
            <w:sz w:val="24"/>
            <w:szCs w:val="24"/>
          </w:rPr>
          <w:t>3</w:t>
        </w:r>
      </w:hyperlink>
      <w:r w:rsidR="00F3428D" w:rsidRPr="00B426F8">
        <w:rPr>
          <w:b/>
          <w:sz w:val="24"/>
          <w:szCs w:val="24"/>
        </w:rPr>
        <w:t>, </w:t>
      </w:r>
      <w:hyperlink r:id="rId16" w:history="1">
        <w:r w:rsidR="00F3428D" w:rsidRPr="00B426F8">
          <w:rPr>
            <w:sz w:val="24"/>
            <w:szCs w:val="24"/>
          </w:rPr>
          <w:t>Francesca</w:t>
        </w:r>
        <w:r w:rsidR="00B426F8">
          <w:rPr>
            <w:sz w:val="24"/>
            <w:szCs w:val="24"/>
          </w:rPr>
          <w:t xml:space="preserve"> </w:t>
        </w:r>
      </w:hyperlink>
      <w:r w:rsidR="000333B5">
        <w:rPr>
          <w:sz w:val="24"/>
          <w:szCs w:val="24"/>
        </w:rPr>
        <w:t xml:space="preserve"> </w:t>
      </w:r>
      <w:proofErr w:type="spellStart"/>
      <w:r w:rsidR="00F13132">
        <w:rPr>
          <w:sz w:val="24"/>
          <w:szCs w:val="24"/>
        </w:rPr>
        <w:t>Bedussi</w:t>
      </w:r>
      <w:proofErr w:type="spellEnd"/>
      <w:r w:rsidR="00F13132">
        <w:rPr>
          <w:sz w:val="24"/>
          <w:szCs w:val="24"/>
        </w:rPr>
        <w:t xml:space="preserve"> 3, </w:t>
      </w:r>
      <w:r w:rsidR="00F3428D" w:rsidRPr="00B426F8">
        <w:rPr>
          <w:b/>
          <w:sz w:val="24"/>
          <w:szCs w:val="24"/>
        </w:rPr>
        <w:t> </w:t>
      </w:r>
      <w:hyperlink r:id="rId17" w:history="1">
        <w:r w:rsidR="00F3428D" w:rsidRPr="00B426F8">
          <w:rPr>
            <w:sz w:val="24"/>
            <w:szCs w:val="24"/>
          </w:rPr>
          <w:t>Alessandro Ceschi</w:t>
        </w:r>
      </w:hyperlink>
      <w:r w:rsidR="00F3428D" w:rsidRPr="00B426F8">
        <w:rPr>
          <w:b/>
          <w:sz w:val="24"/>
          <w:szCs w:val="24"/>
        </w:rPr>
        <w:t> </w:t>
      </w:r>
      <w:hyperlink r:id="rId18" w:anchor="full-view-affiliation-4" w:tooltip="Division of Clinical Pharmacology and Toxicology, Institute of Pharmacological Sciences of Southern Switzerland, Ente Ospedaliero Cantonale, Lugano, Switzerland; Clinical Trial Unit, Ente Ospedaliero Cantonale, Lugano, Switzerland; Faculty of Biomedical Scienc" w:history="1">
        <w:r w:rsidR="00F3428D" w:rsidRPr="00B426F8">
          <w:rPr>
            <w:sz w:val="24"/>
            <w:szCs w:val="24"/>
          </w:rPr>
          <w:t>4</w:t>
        </w:r>
      </w:hyperlink>
      <w:r w:rsidR="00F3428D" w:rsidRPr="00B426F8">
        <w:rPr>
          <w:b/>
          <w:sz w:val="24"/>
          <w:szCs w:val="24"/>
        </w:rPr>
        <w:t>, </w:t>
      </w:r>
      <w:hyperlink r:id="rId19" w:history="1">
        <w:r w:rsidR="00F3428D" w:rsidRPr="00B426F8">
          <w:rPr>
            <w:sz w:val="24"/>
            <w:szCs w:val="24"/>
          </w:rPr>
          <w:t>Alice Panchaud</w:t>
        </w:r>
      </w:hyperlink>
      <w:r w:rsidR="00F3428D" w:rsidRPr="00B426F8">
        <w:rPr>
          <w:b/>
          <w:sz w:val="24"/>
          <w:szCs w:val="24"/>
        </w:rPr>
        <w:t> </w:t>
      </w:r>
      <w:hyperlink r:id="rId20" w:anchor="full-view-affiliation-5" w:tooltip="Institute of Primary Health Care (BIHAM), University of Bern, Bern, Switzerland; Service of Pharmacy, Centre Hospitalier Universitaire Vaudois (CHUV), Lausanne, Switzerland." w:history="1">
        <w:r w:rsidR="00F3428D" w:rsidRPr="00B426F8">
          <w:rPr>
            <w:sz w:val="24"/>
            <w:szCs w:val="24"/>
          </w:rPr>
          <w:t>5</w:t>
        </w:r>
      </w:hyperlink>
      <w:r w:rsidR="00F3428D" w:rsidRPr="00B426F8">
        <w:rPr>
          <w:b/>
          <w:sz w:val="24"/>
          <w:szCs w:val="24"/>
        </w:rPr>
        <w:t>, </w:t>
      </w:r>
      <w:hyperlink r:id="rId21" w:history="1">
        <w:r w:rsidR="00F3428D" w:rsidRPr="00B426F8">
          <w:rPr>
            <w:sz w:val="24"/>
            <w:szCs w:val="24"/>
          </w:rPr>
          <w:t>Ursula Winterfeld</w:t>
        </w:r>
      </w:hyperlink>
      <w:r w:rsidR="00F3428D" w:rsidRPr="00B426F8">
        <w:rPr>
          <w:b/>
          <w:sz w:val="24"/>
          <w:szCs w:val="24"/>
        </w:rPr>
        <w:t> </w:t>
      </w:r>
      <w:hyperlink r:id="rId22" w:anchor="full-view-affiliation-6" w:tooltip="Swiss Teratogen Information Service and Clinical Pharmacology Service, Centre Hospitalier Universitaire Vaudois (CHUV) and University of Lausanne, Lausanne, Switzerland. Electronic address: ursula.winterfeld@chuv.ch." w:history="1">
        <w:r w:rsidR="00F3428D" w:rsidRPr="00B426F8">
          <w:rPr>
            <w:sz w:val="24"/>
            <w:szCs w:val="24"/>
          </w:rPr>
          <w:t>6</w:t>
        </w:r>
      </w:hyperlink>
    </w:p>
    <w:p w14:paraId="6698E0AB" w14:textId="77777777" w:rsidR="0098362B" w:rsidRPr="00B426F8" w:rsidRDefault="0098362B" w:rsidP="00B426F8">
      <w:pPr>
        <w:spacing w:after="0" w:line="240" w:lineRule="auto"/>
        <w:jc w:val="both"/>
        <w:rPr>
          <w:b/>
          <w:sz w:val="24"/>
          <w:szCs w:val="24"/>
        </w:rPr>
      </w:pPr>
    </w:p>
    <w:p w14:paraId="1A4D5BF3" w14:textId="5BE781A6" w:rsidR="00F3428D" w:rsidRPr="00B426F8" w:rsidRDefault="0098362B" w:rsidP="00B426F8">
      <w:pPr>
        <w:spacing w:after="0" w:line="240" w:lineRule="auto"/>
        <w:jc w:val="both"/>
        <w:rPr>
          <w:sz w:val="24"/>
          <w:szCs w:val="24"/>
        </w:rPr>
      </w:pPr>
      <w:r w:rsidRPr="00F3428D">
        <w:rPr>
          <w:b/>
          <w:sz w:val="28"/>
          <w:szCs w:val="28"/>
        </w:rPr>
        <w:t>Affiliations</w:t>
      </w:r>
      <w:r w:rsidRPr="00B426F8">
        <w:rPr>
          <w:b/>
          <w:sz w:val="24"/>
          <w:szCs w:val="24"/>
        </w:rPr>
        <w:t>:</w:t>
      </w:r>
      <w:r w:rsidR="00F3428D" w:rsidRPr="00B426F8">
        <w:rPr>
          <w:sz w:val="24"/>
          <w:szCs w:val="24"/>
        </w:rPr>
        <w:t xml:space="preserve"> 1 Institute of Primary Health Care (BIHAM), University of Bern, Bern, Switzerland.</w:t>
      </w:r>
    </w:p>
    <w:p w14:paraId="24CD433C" w14:textId="5B659FC2" w:rsidR="00F3428D" w:rsidRPr="00B426F8" w:rsidRDefault="00F3428D" w:rsidP="00B426F8">
      <w:pPr>
        <w:spacing w:after="0" w:line="240" w:lineRule="auto"/>
        <w:jc w:val="both"/>
        <w:rPr>
          <w:sz w:val="24"/>
          <w:szCs w:val="24"/>
        </w:rPr>
      </w:pPr>
      <w:r w:rsidRPr="00B426F8">
        <w:rPr>
          <w:sz w:val="24"/>
          <w:szCs w:val="24"/>
        </w:rPr>
        <w:t>2 Swiss Teratogen Information Service and Clinical Pharmacology Service, Centre Hospitalier Universitaire Vaudois (CHUV) and University of Lausanne, Lausanne, Switzerland.</w:t>
      </w:r>
    </w:p>
    <w:p w14:paraId="719912FC" w14:textId="64AEC93D" w:rsidR="00F3428D" w:rsidRPr="00B426F8" w:rsidRDefault="00F3428D" w:rsidP="00B426F8">
      <w:pPr>
        <w:spacing w:after="0" w:line="240" w:lineRule="auto"/>
        <w:jc w:val="both"/>
        <w:rPr>
          <w:sz w:val="24"/>
          <w:szCs w:val="24"/>
        </w:rPr>
      </w:pPr>
      <w:r w:rsidRPr="00B426F8">
        <w:rPr>
          <w:sz w:val="24"/>
          <w:szCs w:val="24"/>
        </w:rPr>
        <w:t xml:space="preserve">3 Division of Clinical Pharmacology and Toxicology, Institute of Pharmacological Sciences of Southern Switzerland, Ente </w:t>
      </w:r>
      <w:proofErr w:type="spellStart"/>
      <w:r w:rsidRPr="00B426F8">
        <w:rPr>
          <w:sz w:val="24"/>
          <w:szCs w:val="24"/>
        </w:rPr>
        <w:t>Ospedaliero</w:t>
      </w:r>
      <w:proofErr w:type="spellEnd"/>
      <w:r w:rsidRPr="00B426F8">
        <w:rPr>
          <w:sz w:val="24"/>
          <w:szCs w:val="24"/>
        </w:rPr>
        <w:t xml:space="preserve"> </w:t>
      </w:r>
      <w:proofErr w:type="spellStart"/>
      <w:r w:rsidRPr="00B426F8">
        <w:rPr>
          <w:sz w:val="24"/>
          <w:szCs w:val="24"/>
        </w:rPr>
        <w:t>Cantonale</w:t>
      </w:r>
      <w:proofErr w:type="spellEnd"/>
      <w:r w:rsidRPr="00B426F8">
        <w:rPr>
          <w:sz w:val="24"/>
          <w:szCs w:val="24"/>
        </w:rPr>
        <w:t>, Lugano, Switzerland.</w:t>
      </w:r>
    </w:p>
    <w:p w14:paraId="187A449C" w14:textId="206B1B5A" w:rsidR="00F3428D" w:rsidRPr="00B426F8" w:rsidRDefault="00F3428D" w:rsidP="00B426F8">
      <w:pPr>
        <w:spacing w:after="0" w:line="240" w:lineRule="auto"/>
        <w:jc w:val="both"/>
        <w:rPr>
          <w:sz w:val="24"/>
          <w:szCs w:val="24"/>
        </w:rPr>
      </w:pPr>
      <w:r w:rsidRPr="00B426F8">
        <w:rPr>
          <w:sz w:val="24"/>
          <w:szCs w:val="24"/>
        </w:rPr>
        <w:t xml:space="preserve">4 Division of Clinical Pharmacology and Toxicology, Institute of Pharmacological Sciences of Southern Switzerland, Ente </w:t>
      </w:r>
      <w:proofErr w:type="spellStart"/>
      <w:r w:rsidRPr="00B426F8">
        <w:rPr>
          <w:sz w:val="24"/>
          <w:szCs w:val="24"/>
        </w:rPr>
        <w:t>Ospedaliero</w:t>
      </w:r>
      <w:proofErr w:type="spellEnd"/>
      <w:r w:rsidRPr="00B426F8">
        <w:rPr>
          <w:sz w:val="24"/>
          <w:szCs w:val="24"/>
        </w:rPr>
        <w:t xml:space="preserve"> </w:t>
      </w:r>
      <w:proofErr w:type="spellStart"/>
      <w:r w:rsidRPr="00B426F8">
        <w:rPr>
          <w:sz w:val="24"/>
          <w:szCs w:val="24"/>
        </w:rPr>
        <w:t>Cantonale</w:t>
      </w:r>
      <w:proofErr w:type="spellEnd"/>
      <w:r w:rsidRPr="00B426F8">
        <w:rPr>
          <w:sz w:val="24"/>
          <w:szCs w:val="24"/>
        </w:rPr>
        <w:t xml:space="preserve">, Lugano, Switzerland; Clinical Trial Unit, Ente </w:t>
      </w:r>
      <w:proofErr w:type="spellStart"/>
      <w:r w:rsidRPr="00B426F8">
        <w:rPr>
          <w:sz w:val="24"/>
          <w:szCs w:val="24"/>
        </w:rPr>
        <w:t>Ospedaliero</w:t>
      </w:r>
      <w:proofErr w:type="spellEnd"/>
      <w:r w:rsidRPr="00B426F8">
        <w:rPr>
          <w:sz w:val="24"/>
          <w:szCs w:val="24"/>
        </w:rPr>
        <w:t xml:space="preserve"> </w:t>
      </w:r>
      <w:proofErr w:type="spellStart"/>
      <w:r w:rsidRPr="00B426F8">
        <w:rPr>
          <w:sz w:val="24"/>
          <w:szCs w:val="24"/>
        </w:rPr>
        <w:t>Cantonale</w:t>
      </w:r>
      <w:proofErr w:type="spellEnd"/>
      <w:r w:rsidRPr="00B426F8">
        <w:rPr>
          <w:sz w:val="24"/>
          <w:szCs w:val="24"/>
        </w:rPr>
        <w:t xml:space="preserve">, Lugano, Switzerland; Faculty of Biomedical Sciences, Università della Svizzera </w:t>
      </w:r>
      <w:proofErr w:type="spellStart"/>
      <w:r w:rsidRPr="00B426F8">
        <w:rPr>
          <w:sz w:val="24"/>
          <w:szCs w:val="24"/>
        </w:rPr>
        <w:t>italiana</w:t>
      </w:r>
      <w:proofErr w:type="spellEnd"/>
      <w:r w:rsidRPr="00B426F8">
        <w:rPr>
          <w:sz w:val="24"/>
          <w:szCs w:val="24"/>
        </w:rPr>
        <w:t>, Lugano, Switzerland.</w:t>
      </w:r>
    </w:p>
    <w:p w14:paraId="25A6E047" w14:textId="48051EA4" w:rsidR="00F3428D" w:rsidRPr="00B426F8" w:rsidRDefault="00F3428D" w:rsidP="00B426F8">
      <w:pPr>
        <w:spacing w:after="0" w:line="240" w:lineRule="auto"/>
        <w:jc w:val="both"/>
        <w:rPr>
          <w:sz w:val="24"/>
          <w:szCs w:val="24"/>
        </w:rPr>
      </w:pPr>
      <w:r w:rsidRPr="00B426F8">
        <w:rPr>
          <w:sz w:val="24"/>
          <w:szCs w:val="24"/>
        </w:rPr>
        <w:t>5 Institute of Primary Health Care (BIHAM), University of Bern, Bern, Switzerland; Service of Pharmacy, Centre Hospitalier Universitaire Vaudois (CHUV), Lausanne, Switzerland.</w:t>
      </w:r>
    </w:p>
    <w:p w14:paraId="0DF6C1D6" w14:textId="07755658" w:rsidR="00F3428D" w:rsidRPr="00B426F8" w:rsidRDefault="00F3428D" w:rsidP="00B426F8">
      <w:pPr>
        <w:spacing w:after="0" w:line="240" w:lineRule="auto"/>
        <w:jc w:val="both"/>
        <w:rPr>
          <w:sz w:val="24"/>
          <w:szCs w:val="24"/>
        </w:rPr>
      </w:pPr>
      <w:r w:rsidRPr="00B426F8">
        <w:rPr>
          <w:sz w:val="24"/>
          <w:szCs w:val="24"/>
        </w:rPr>
        <w:t>6 Swiss Teratogen Information Service and Clinical Pharmacology Service, Centre Hospitalier Universitaire Vaudois (CHUV) and University of Lausanne, Lausanne, Switzerland.</w:t>
      </w:r>
    </w:p>
    <w:p w14:paraId="3ECDA763" w14:textId="77777777" w:rsidR="0098362B" w:rsidRPr="0098362B" w:rsidRDefault="0098362B" w:rsidP="00540382">
      <w:pPr>
        <w:spacing w:after="0" w:line="240" w:lineRule="auto"/>
        <w:rPr>
          <w:b/>
          <w:sz w:val="28"/>
          <w:szCs w:val="28"/>
        </w:rPr>
      </w:pPr>
    </w:p>
    <w:p w14:paraId="1DF2B121" w14:textId="77777777" w:rsidR="00850355" w:rsidRDefault="0098362B" w:rsidP="00B426F8">
      <w:pPr>
        <w:spacing w:after="0" w:line="240" w:lineRule="auto"/>
        <w:jc w:val="both"/>
        <w:rPr>
          <w:b/>
          <w:sz w:val="28"/>
          <w:szCs w:val="28"/>
        </w:rPr>
      </w:pPr>
      <w:r w:rsidRPr="0098362B">
        <w:rPr>
          <w:b/>
          <w:sz w:val="28"/>
          <w:szCs w:val="28"/>
        </w:rPr>
        <w:t>What was your research question?</w:t>
      </w:r>
      <w:r w:rsidR="00540382">
        <w:rPr>
          <w:b/>
          <w:sz w:val="28"/>
          <w:szCs w:val="28"/>
        </w:rPr>
        <w:t xml:space="preserve"> </w:t>
      </w:r>
    </w:p>
    <w:p w14:paraId="729B4BBE" w14:textId="7F8B4C15" w:rsidR="0098362B" w:rsidRPr="00B426F8" w:rsidRDefault="00F3428D" w:rsidP="00B426F8">
      <w:pPr>
        <w:spacing w:after="0" w:line="240" w:lineRule="auto"/>
        <w:jc w:val="both"/>
        <w:rPr>
          <w:sz w:val="24"/>
          <w:szCs w:val="24"/>
        </w:rPr>
      </w:pPr>
      <w:r w:rsidRPr="00B426F8">
        <w:rPr>
          <w:sz w:val="24"/>
          <w:szCs w:val="24"/>
        </w:rPr>
        <w:t>Are CFTR modulators—medications that improve lung and digestive function in people with cystic fibrosis—safe to continue during pregnancy? We wanted to know whether international safety reports show any concerns for mothers or babies when these medicines are used while the mother is pregnant.</w:t>
      </w:r>
    </w:p>
    <w:p w14:paraId="4AB59C81" w14:textId="77777777" w:rsidR="0098362B" w:rsidRPr="0098362B" w:rsidRDefault="0098362B" w:rsidP="00540382">
      <w:pPr>
        <w:spacing w:after="0" w:line="240" w:lineRule="auto"/>
        <w:rPr>
          <w:b/>
          <w:sz w:val="28"/>
          <w:szCs w:val="28"/>
        </w:rPr>
      </w:pPr>
    </w:p>
    <w:p w14:paraId="4D9318A9" w14:textId="77777777" w:rsidR="00850355" w:rsidRDefault="0098362B" w:rsidP="00B426F8">
      <w:pPr>
        <w:spacing w:after="0" w:line="240" w:lineRule="auto"/>
        <w:jc w:val="both"/>
        <w:rPr>
          <w:b/>
          <w:sz w:val="28"/>
          <w:szCs w:val="28"/>
        </w:rPr>
      </w:pPr>
      <w:r w:rsidRPr="0098362B">
        <w:rPr>
          <w:b/>
          <w:sz w:val="28"/>
          <w:szCs w:val="28"/>
        </w:rPr>
        <w:t>Why is this important?</w:t>
      </w:r>
      <w:r w:rsidR="00540382">
        <w:rPr>
          <w:b/>
          <w:sz w:val="28"/>
          <w:szCs w:val="28"/>
        </w:rPr>
        <w:t xml:space="preserve"> </w:t>
      </w:r>
    </w:p>
    <w:p w14:paraId="22D21517" w14:textId="0281EDF9" w:rsidR="00540382" w:rsidRPr="00B426F8" w:rsidRDefault="00F3428D" w:rsidP="00B426F8">
      <w:pPr>
        <w:spacing w:after="0" w:line="240" w:lineRule="auto"/>
        <w:jc w:val="both"/>
        <w:rPr>
          <w:sz w:val="24"/>
          <w:szCs w:val="24"/>
        </w:rPr>
      </w:pPr>
      <w:r w:rsidRPr="00B426F8">
        <w:rPr>
          <w:sz w:val="24"/>
          <w:szCs w:val="24"/>
        </w:rPr>
        <w:t xml:space="preserve">Many women with cystic fibrosis are now healthier and able to plan families, thanks to CFTR modulators. Stopping treatment during pregnancy can cause health problems for the mother, which may also affect the baby. However, information on the safety of these medicines in pregnancy is still limited. Patients, families, and healthcare teams need clear, </w:t>
      </w:r>
      <w:r w:rsidRPr="00B426F8">
        <w:rPr>
          <w:sz w:val="24"/>
          <w:szCs w:val="24"/>
        </w:rPr>
        <w:lastRenderedPageBreak/>
        <w:t>evidence-based information to help decide whether the benefits of continuing treatment outweigh potential risks. Understanding real-world safety reports from around the world can help guide these decisions.</w:t>
      </w:r>
    </w:p>
    <w:p w14:paraId="5B08D8BD" w14:textId="77777777" w:rsidR="0098362B" w:rsidRPr="0098362B" w:rsidRDefault="0098362B" w:rsidP="00540382">
      <w:pPr>
        <w:spacing w:after="0" w:line="240" w:lineRule="auto"/>
        <w:rPr>
          <w:b/>
          <w:sz w:val="28"/>
          <w:szCs w:val="28"/>
        </w:rPr>
      </w:pPr>
    </w:p>
    <w:p w14:paraId="0E563AC4" w14:textId="77777777" w:rsidR="00850355" w:rsidRDefault="0098362B" w:rsidP="00B426F8">
      <w:pPr>
        <w:spacing w:after="0" w:line="240" w:lineRule="auto"/>
        <w:jc w:val="both"/>
        <w:rPr>
          <w:b/>
          <w:sz w:val="24"/>
          <w:szCs w:val="24"/>
        </w:rPr>
      </w:pPr>
      <w:r w:rsidRPr="0098362B">
        <w:rPr>
          <w:b/>
          <w:sz w:val="28"/>
          <w:szCs w:val="28"/>
        </w:rPr>
        <w:t>What did you do</w:t>
      </w:r>
      <w:r w:rsidRPr="00B426F8">
        <w:rPr>
          <w:b/>
          <w:sz w:val="24"/>
          <w:szCs w:val="24"/>
        </w:rPr>
        <w:t>?</w:t>
      </w:r>
      <w:r w:rsidR="00540382" w:rsidRPr="00B426F8">
        <w:rPr>
          <w:b/>
          <w:sz w:val="24"/>
          <w:szCs w:val="24"/>
        </w:rPr>
        <w:t xml:space="preserve"> </w:t>
      </w:r>
    </w:p>
    <w:p w14:paraId="71BF3942" w14:textId="1F25F5DF" w:rsidR="00540382" w:rsidRPr="00B426F8" w:rsidRDefault="00F3428D" w:rsidP="00B426F8">
      <w:pPr>
        <w:spacing w:after="0" w:line="240" w:lineRule="auto"/>
        <w:jc w:val="both"/>
        <w:rPr>
          <w:sz w:val="24"/>
          <w:szCs w:val="24"/>
        </w:rPr>
      </w:pPr>
      <w:r w:rsidRPr="00B426F8">
        <w:rPr>
          <w:sz w:val="24"/>
          <w:szCs w:val="24"/>
        </w:rPr>
        <w:t xml:space="preserve">We reviewed pregnancy-related safety reports from </w:t>
      </w:r>
      <w:proofErr w:type="spellStart"/>
      <w:r w:rsidRPr="00B426F8">
        <w:rPr>
          <w:sz w:val="24"/>
          <w:szCs w:val="24"/>
        </w:rPr>
        <w:t>VigiBase</w:t>
      </w:r>
      <w:proofErr w:type="spellEnd"/>
      <w:r w:rsidRPr="00B426F8">
        <w:rPr>
          <w:sz w:val="24"/>
          <w:szCs w:val="24"/>
        </w:rPr>
        <w:t xml:space="preserve">, the World Health Organization’s global database of medication side-effects. This database collects reports from more than 180 countries. We looked for all reports that described pregnancies in which the mother took CFTR modulators such as ivacaftor, </w:t>
      </w:r>
      <w:proofErr w:type="spellStart"/>
      <w:r w:rsidRPr="00B426F8">
        <w:rPr>
          <w:sz w:val="24"/>
          <w:szCs w:val="24"/>
        </w:rPr>
        <w:t>tezacaftor</w:t>
      </w:r>
      <w:proofErr w:type="spellEnd"/>
      <w:r w:rsidRPr="00B426F8">
        <w:rPr>
          <w:sz w:val="24"/>
          <w:szCs w:val="24"/>
        </w:rPr>
        <w:t xml:space="preserve">, lumacaftor, or </w:t>
      </w:r>
      <w:proofErr w:type="spellStart"/>
      <w:r w:rsidRPr="00B426F8">
        <w:rPr>
          <w:sz w:val="24"/>
          <w:szCs w:val="24"/>
        </w:rPr>
        <w:t>elexacaftor</w:t>
      </w:r>
      <w:proofErr w:type="spellEnd"/>
      <w:r w:rsidRPr="00B426F8">
        <w:rPr>
          <w:sz w:val="24"/>
          <w:szCs w:val="24"/>
        </w:rPr>
        <w:t>. We examined whether certain problems—like miscarriage, high blood pressure in pregnancy (pre-eclampsia), premature birth, or birth defects—were reported more often than expected compared with reports for all other medicines.</w:t>
      </w:r>
    </w:p>
    <w:p w14:paraId="3EE415B9" w14:textId="77777777" w:rsidR="0098362B" w:rsidRPr="00B426F8" w:rsidRDefault="0098362B" w:rsidP="00B426F8">
      <w:pPr>
        <w:spacing w:after="0" w:line="240" w:lineRule="auto"/>
        <w:jc w:val="both"/>
        <w:rPr>
          <w:b/>
          <w:sz w:val="24"/>
          <w:szCs w:val="24"/>
        </w:rPr>
      </w:pPr>
    </w:p>
    <w:p w14:paraId="68141F38" w14:textId="77777777" w:rsidR="00850355" w:rsidRDefault="0098362B" w:rsidP="00B426F8">
      <w:pPr>
        <w:spacing w:after="0" w:line="240" w:lineRule="auto"/>
        <w:jc w:val="both"/>
        <w:rPr>
          <w:b/>
          <w:sz w:val="24"/>
          <w:szCs w:val="24"/>
        </w:rPr>
      </w:pPr>
      <w:r w:rsidRPr="0098362B">
        <w:rPr>
          <w:b/>
          <w:sz w:val="28"/>
          <w:szCs w:val="28"/>
        </w:rPr>
        <w:t>What did you find</w:t>
      </w:r>
      <w:r w:rsidRPr="00B426F8">
        <w:rPr>
          <w:b/>
          <w:sz w:val="24"/>
          <w:szCs w:val="24"/>
        </w:rPr>
        <w:t>?</w:t>
      </w:r>
      <w:r w:rsidR="00540382" w:rsidRPr="00B426F8">
        <w:rPr>
          <w:b/>
          <w:sz w:val="24"/>
          <w:szCs w:val="24"/>
        </w:rPr>
        <w:t xml:space="preserve"> </w:t>
      </w:r>
    </w:p>
    <w:p w14:paraId="584AAFED" w14:textId="1D192103" w:rsidR="00540382" w:rsidRPr="00B426F8" w:rsidRDefault="00F3428D" w:rsidP="00B426F8">
      <w:pPr>
        <w:spacing w:after="0" w:line="240" w:lineRule="auto"/>
        <w:jc w:val="both"/>
        <w:rPr>
          <w:sz w:val="24"/>
          <w:szCs w:val="24"/>
        </w:rPr>
      </w:pPr>
      <w:r w:rsidRPr="00B426F8">
        <w:rPr>
          <w:sz w:val="24"/>
          <w:szCs w:val="24"/>
        </w:rPr>
        <w:t>Among more than one thousand reports, 280 contained enough information for analysis. Two events—miscarriage and pre-eclampsia—were reported more often than expected. There was no sign of increased reporting of premature birth or any specific pattern of birth defects, and no type of anomaly appeared repeatedly. These findings are consistent with recent patient-registry studies, which also have not shown an increased risk of birth defects in babies exposed to CFTR modulators.</w:t>
      </w:r>
    </w:p>
    <w:p w14:paraId="6FD16F68" w14:textId="77777777" w:rsidR="0098362B" w:rsidRPr="00B426F8" w:rsidRDefault="0098362B" w:rsidP="00B426F8">
      <w:pPr>
        <w:spacing w:after="0" w:line="240" w:lineRule="auto"/>
        <w:jc w:val="both"/>
        <w:rPr>
          <w:b/>
          <w:sz w:val="24"/>
          <w:szCs w:val="24"/>
        </w:rPr>
      </w:pPr>
    </w:p>
    <w:p w14:paraId="4E218910" w14:textId="77777777" w:rsidR="00850355" w:rsidRDefault="0098362B" w:rsidP="00B426F8">
      <w:pPr>
        <w:spacing w:after="0" w:line="240" w:lineRule="auto"/>
        <w:jc w:val="both"/>
        <w:rPr>
          <w:b/>
          <w:sz w:val="28"/>
          <w:szCs w:val="28"/>
        </w:rPr>
      </w:pPr>
      <w:r w:rsidRPr="0098362B">
        <w:rPr>
          <w:b/>
          <w:sz w:val="28"/>
          <w:szCs w:val="28"/>
        </w:rPr>
        <w:t>What does this mean and reasons for caution?</w:t>
      </w:r>
      <w:r w:rsidR="00540382">
        <w:rPr>
          <w:b/>
          <w:sz w:val="28"/>
          <w:szCs w:val="28"/>
        </w:rPr>
        <w:t xml:space="preserve"> </w:t>
      </w:r>
    </w:p>
    <w:p w14:paraId="33103A36" w14:textId="66FE8AD9" w:rsidR="00540382" w:rsidRPr="00B426F8" w:rsidRDefault="00F3428D" w:rsidP="00B426F8">
      <w:pPr>
        <w:spacing w:after="0" w:line="240" w:lineRule="auto"/>
        <w:jc w:val="both"/>
        <w:rPr>
          <w:sz w:val="24"/>
          <w:szCs w:val="24"/>
        </w:rPr>
      </w:pPr>
      <w:r w:rsidRPr="00B426F8">
        <w:rPr>
          <w:sz w:val="24"/>
          <w:szCs w:val="24"/>
        </w:rPr>
        <w:t>An increase in reporting does not necessarily mean a medicine caused the problem. Reports may be incomplete, duplicated, or influenced by closer monitoring or concern when medicines are new, as is the case for CFTR modulators. Miscarriage is also relatively common in all pregnancies. Overall, our findings are reassuring: no consistent link to birth defects or premature birth was seen. Still, the higher reporting of miscarriage and pre-eclampsia should be interpreted with care and needs confirmation through well-designed studies.</w:t>
      </w:r>
    </w:p>
    <w:p w14:paraId="6B52BD1B" w14:textId="77777777" w:rsidR="0098362B" w:rsidRPr="0098362B" w:rsidRDefault="0098362B" w:rsidP="00540382">
      <w:pPr>
        <w:spacing w:after="0" w:line="240" w:lineRule="auto"/>
        <w:rPr>
          <w:b/>
          <w:sz w:val="28"/>
          <w:szCs w:val="28"/>
        </w:rPr>
      </w:pPr>
    </w:p>
    <w:p w14:paraId="0543E3AE" w14:textId="77777777" w:rsidR="00850355" w:rsidRDefault="0098362B" w:rsidP="00B426F8">
      <w:pPr>
        <w:spacing w:after="0" w:line="240" w:lineRule="auto"/>
        <w:jc w:val="both"/>
        <w:rPr>
          <w:b/>
          <w:sz w:val="28"/>
          <w:szCs w:val="28"/>
        </w:rPr>
      </w:pPr>
      <w:r w:rsidRPr="0098362B">
        <w:rPr>
          <w:b/>
          <w:sz w:val="28"/>
          <w:szCs w:val="28"/>
        </w:rPr>
        <w:t>What’s next?</w:t>
      </w:r>
      <w:r w:rsidR="00540382">
        <w:rPr>
          <w:b/>
          <w:sz w:val="28"/>
          <w:szCs w:val="28"/>
        </w:rPr>
        <w:t xml:space="preserve"> </w:t>
      </w:r>
    </w:p>
    <w:p w14:paraId="635AB057" w14:textId="779409AB" w:rsidR="00540382" w:rsidRPr="00B426F8" w:rsidRDefault="00230EA8" w:rsidP="00B426F8">
      <w:pPr>
        <w:spacing w:after="0" w:line="240" w:lineRule="auto"/>
        <w:jc w:val="both"/>
        <w:rPr>
          <w:sz w:val="24"/>
          <w:szCs w:val="24"/>
        </w:rPr>
      </w:pPr>
      <w:r w:rsidRPr="00B426F8">
        <w:rPr>
          <w:sz w:val="24"/>
          <w:szCs w:val="24"/>
        </w:rPr>
        <w:t>Continued follow-up through pregnancy registries and international monitoring is needed to better understand the risks and support informed decisions. Ongoing research will help ensure that women with cystic fibrosis and their families receive clear, reliable guidance when planning and managing pregnancy.</w:t>
      </w:r>
    </w:p>
    <w:p w14:paraId="33B46237" w14:textId="68E08C26" w:rsidR="00540382" w:rsidRPr="00540382" w:rsidRDefault="00540382" w:rsidP="00540382">
      <w:pPr>
        <w:jc w:val="both"/>
        <w:rPr>
          <w:i/>
          <w:sz w:val="24"/>
          <w:szCs w:val="28"/>
        </w:rPr>
      </w:pPr>
    </w:p>
    <w:sectPr w:rsidR="00540382" w:rsidRPr="0054038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8132" w14:textId="77777777" w:rsidR="00257E89" w:rsidRDefault="00257E89" w:rsidP="008B1278">
      <w:pPr>
        <w:spacing w:after="0" w:line="240" w:lineRule="auto"/>
      </w:pPr>
      <w:r>
        <w:separator/>
      </w:r>
    </w:p>
  </w:endnote>
  <w:endnote w:type="continuationSeparator" w:id="0">
    <w:p w14:paraId="325BE416" w14:textId="77777777" w:rsidR="00257E89" w:rsidRDefault="00257E89"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98D6" w14:textId="77777777" w:rsidR="00257E89" w:rsidRDefault="00257E89" w:rsidP="008B1278">
      <w:pPr>
        <w:spacing w:after="0" w:line="240" w:lineRule="auto"/>
      </w:pPr>
      <w:r>
        <w:separator/>
      </w:r>
    </w:p>
  </w:footnote>
  <w:footnote w:type="continuationSeparator" w:id="0">
    <w:p w14:paraId="0B533E2C" w14:textId="77777777" w:rsidR="00257E89" w:rsidRDefault="00257E89"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955FC"/>
    <w:multiLevelType w:val="multilevel"/>
    <w:tmpl w:val="BD3E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6101D4"/>
    <w:multiLevelType w:val="multilevel"/>
    <w:tmpl w:val="9B3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620083">
    <w:abstractNumId w:val="0"/>
  </w:num>
  <w:num w:numId="2" w16cid:durableId="154922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0333B5"/>
    <w:rsid w:val="00156404"/>
    <w:rsid w:val="00230EA8"/>
    <w:rsid w:val="00257E89"/>
    <w:rsid w:val="0049290B"/>
    <w:rsid w:val="00540382"/>
    <w:rsid w:val="006A7976"/>
    <w:rsid w:val="00717EB1"/>
    <w:rsid w:val="00771BBB"/>
    <w:rsid w:val="0078402E"/>
    <w:rsid w:val="007C34C3"/>
    <w:rsid w:val="00850355"/>
    <w:rsid w:val="008B1278"/>
    <w:rsid w:val="0098362B"/>
    <w:rsid w:val="00B426F8"/>
    <w:rsid w:val="00CF30A7"/>
    <w:rsid w:val="00D36FED"/>
    <w:rsid w:val="00E16C15"/>
    <w:rsid w:val="00E56B38"/>
    <w:rsid w:val="00F13132"/>
    <w:rsid w:val="00F3428D"/>
    <w:rsid w:val="00FA72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2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customStyle="1" w:styleId="Heading1Char">
    <w:name w:val="Heading 1 Char"/>
    <w:basedOn w:val="DefaultParagraphFont"/>
    <w:link w:val="Heading1"/>
    <w:uiPriority w:val="9"/>
    <w:rsid w:val="00F3428D"/>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34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1967">
      <w:bodyDiv w:val="1"/>
      <w:marLeft w:val="0"/>
      <w:marRight w:val="0"/>
      <w:marTop w:val="0"/>
      <w:marBottom w:val="0"/>
      <w:divBdr>
        <w:top w:val="none" w:sz="0" w:space="0" w:color="auto"/>
        <w:left w:val="none" w:sz="0" w:space="0" w:color="auto"/>
        <w:bottom w:val="none" w:sz="0" w:space="0" w:color="auto"/>
        <w:right w:val="none" w:sz="0" w:space="0" w:color="auto"/>
      </w:divBdr>
    </w:div>
    <w:div w:id="1726488246">
      <w:bodyDiv w:val="1"/>
      <w:marLeft w:val="0"/>
      <w:marRight w:val="0"/>
      <w:marTop w:val="0"/>
      <w:marBottom w:val="0"/>
      <w:divBdr>
        <w:top w:val="none" w:sz="0" w:space="0" w:color="auto"/>
        <w:left w:val="none" w:sz="0" w:space="0" w:color="auto"/>
        <w:bottom w:val="none" w:sz="0" w:space="0" w:color="auto"/>
        <w:right w:val="none" w:sz="0" w:space="0" w:color="auto"/>
      </w:divBdr>
    </w:div>
    <w:div w:id="1940797514">
      <w:bodyDiv w:val="1"/>
      <w:marLeft w:val="0"/>
      <w:marRight w:val="0"/>
      <w:marTop w:val="0"/>
      <w:marBottom w:val="0"/>
      <w:divBdr>
        <w:top w:val="none" w:sz="0" w:space="0" w:color="auto"/>
        <w:left w:val="none" w:sz="0" w:space="0" w:color="auto"/>
        <w:bottom w:val="none" w:sz="0" w:space="0" w:color="auto"/>
        <w:right w:val="none" w:sz="0" w:space="0" w:color="auto"/>
      </w:divBdr>
    </w:div>
    <w:div w:id="20152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med.ncbi.nlm.nih.gov/41266218/" TargetMode="External"/><Relationship Id="rId18" Type="http://schemas.openxmlformats.org/officeDocument/2006/relationships/hyperlink" Target="https://pubmed.ncbi.nlm.nih.gov/4126621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ubmed.ncbi.nlm.nih.gov/?sort=date&amp;term=Winterfeld+U&amp;cauthor_id=41266218" TargetMode="External"/><Relationship Id="rId7" Type="http://schemas.openxmlformats.org/officeDocument/2006/relationships/webSettings" Target="webSettings.xml"/><Relationship Id="rId12" Type="http://schemas.openxmlformats.org/officeDocument/2006/relationships/hyperlink" Target="https://pubmed.ncbi.nlm.nih.gov/?sort=date&amp;term=Dao+K&amp;cauthor_id=41266218" TargetMode="External"/><Relationship Id="rId17" Type="http://schemas.openxmlformats.org/officeDocument/2006/relationships/hyperlink" Target="https://pubmed.ncbi.nlm.nih.gov/?sort=date&amp;term=Ceschi+A&amp;cauthor_id=4126621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ubmed.ncbi.nlm.nih.gov/?sort=date&amp;term=Bedussi+F&amp;cauthor_id=41266218" TargetMode="External"/><Relationship Id="rId20" Type="http://schemas.openxmlformats.org/officeDocument/2006/relationships/hyperlink" Target="https://pubmed.ncbi.nlm.nih.gov/412662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med.ncbi.nlm.nih.gov/41266218/"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pubmed.ncbi.nlm.nih.gov/4126621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ubmed.ncbi.nlm.nih.gov/?sort=date&amp;term=Abolhassani+N&amp;cauthor_id=41266218" TargetMode="External"/><Relationship Id="rId19" Type="http://schemas.openxmlformats.org/officeDocument/2006/relationships/hyperlink" Target="https://pubmed.ncbi.nlm.nih.gov/?sort=date&amp;term=Panchaud+A&amp;cauthor_id=412662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med.ncbi.nlm.nih.gov/?sort=date&amp;term=Noseda+R&amp;cauthor_id=41266218" TargetMode="External"/><Relationship Id="rId22" Type="http://schemas.openxmlformats.org/officeDocument/2006/relationships/hyperlink" Target="https://pubmed.ncbi.nlm.nih.gov/41266218/" TargetMode="External"/><Relationship Id="rId27" Type="http://schemas.openxmlformats.org/officeDocument/2006/relationships/header" Target="head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081A55-93B3-4532-BA49-66E32AB2575A}"/>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15</TotalTime>
  <Pages>2</Pages>
  <Words>992</Words>
  <Characters>5650</Characters>
  <Application>Microsoft Office Word</Application>
  <DocSecurity>0</DocSecurity>
  <Lines>99</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QIMR</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2025-11-25T15:16:00Z</dcterms:created>
  <dcterms:modified xsi:type="dcterms:W3CDTF">2025-12-01T23:34:00Z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