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0153F406" w:rsidR="00D05492" w:rsidRPr="00443573" w:rsidRDefault="0098362B" w:rsidP="00443573">
      <w:pPr>
        <w:spacing w:after="0" w:line="240" w:lineRule="auto"/>
        <w:jc w:val="both"/>
        <w:rPr>
          <w:sz w:val="24"/>
          <w:szCs w:val="24"/>
        </w:rPr>
      </w:pPr>
      <w:r w:rsidRPr="00443573">
        <w:rPr>
          <w:b/>
          <w:sz w:val="28"/>
          <w:szCs w:val="28"/>
        </w:rPr>
        <w:t>Title:</w:t>
      </w:r>
      <w:r w:rsidR="00D6675E" w:rsidRPr="00443573">
        <w:rPr>
          <w:b/>
          <w:sz w:val="24"/>
          <w:szCs w:val="24"/>
        </w:rPr>
        <w:t xml:space="preserve"> </w:t>
      </w:r>
      <w:r w:rsidR="00D6675E" w:rsidRPr="00443573">
        <w:rPr>
          <w:sz w:val="24"/>
          <w:szCs w:val="24"/>
        </w:rPr>
        <w:t>Clinical Effort Against Smoke Exposure in Cystic Fibrosis (CEASE-CF): Feasibility, Acceptability, and Preliminary Efficacy</w:t>
      </w:r>
    </w:p>
    <w:p w14:paraId="242577E5" w14:textId="4C755EC3" w:rsidR="006A7976" w:rsidRPr="00443573" w:rsidRDefault="006A7976" w:rsidP="00443573">
      <w:pPr>
        <w:spacing w:after="0" w:line="240" w:lineRule="auto"/>
        <w:jc w:val="both"/>
        <w:rPr>
          <w:b/>
          <w:sz w:val="24"/>
          <w:szCs w:val="24"/>
        </w:rPr>
      </w:pPr>
    </w:p>
    <w:p w14:paraId="4DC13F1F" w14:textId="6DE268BB" w:rsidR="006A7976" w:rsidRPr="00443573" w:rsidRDefault="006A7976" w:rsidP="00443573">
      <w:pPr>
        <w:spacing w:after="0" w:line="240" w:lineRule="auto"/>
        <w:jc w:val="both"/>
        <w:rPr>
          <w:sz w:val="24"/>
          <w:szCs w:val="24"/>
        </w:rPr>
      </w:pPr>
      <w:r w:rsidRPr="00443573">
        <w:rPr>
          <w:b/>
          <w:sz w:val="28"/>
          <w:szCs w:val="28"/>
        </w:rPr>
        <w:t>Lay Title:</w:t>
      </w:r>
      <w:r w:rsidR="00D6675E" w:rsidRPr="00443573">
        <w:rPr>
          <w:b/>
          <w:sz w:val="24"/>
          <w:szCs w:val="24"/>
        </w:rPr>
        <w:t xml:space="preserve"> </w:t>
      </w:r>
      <w:r w:rsidR="00D6675E" w:rsidRPr="00443573">
        <w:rPr>
          <w:sz w:val="24"/>
          <w:szCs w:val="24"/>
        </w:rPr>
        <w:t>Clinical Effort Against Smoke Exposure in Cystic Fibrosis (CEASE-CF): Results from a pilot clinical trial for CF family members who smoke</w:t>
      </w:r>
    </w:p>
    <w:p w14:paraId="2C518F27" w14:textId="77777777" w:rsidR="0098362B" w:rsidRPr="00443573" w:rsidRDefault="0098362B" w:rsidP="00443573">
      <w:pPr>
        <w:spacing w:after="0" w:line="240" w:lineRule="auto"/>
        <w:jc w:val="both"/>
        <w:rPr>
          <w:b/>
          <w:sz w:val="24"/>
          <w:szCs w:val="24"/>
        </w:rPr>
      </w:pPr>
    </w:p>
    <w:p w14:paraId="13B51AD4" w14:textId="77777777" w:rsidR="00D6675E" w:rsidRPr="00443573" w:rsidRDefault="0098362B" w:rsidP="00443573">
      <w:pPr>
        <w:tabs>
          <w:tab w:val="left" w:pos="1890"/>
        </w:tabs>
        <w:spacing w:after="0" w:line="240" w:lineRule="auto"/>
        <w:jc w:val="both"/>
        <w:rPr>
          <w:rFonts w:ascii="Times New Roman" w:hAnsi="Times New Roman" w:cs="Times New Roman"/>
          <w:sz w:val="24"/>
          <w:szCs w:val="24"/>
        </w:rPr>
      </w:pPr>
      <w:r w:rsidRPr="00443573">
        <w:rPr>
          <w:b/>
          <w:sz w:val="28"/>
          <w:szCs w:val="28"/>
        </w:rPr>
        <w:t>Authors:</w:t>
      </w:r>
      <w:r w:rsidR="00D6675E" w:rsidRPr="00443573">
        <w:rPr>
          <w:b/>
          <w:sz w:val="24"/>
          <w:szCs w:val="24"/>
        </w:rPr>
        <w:t xml:space="preserve"> </w:t>
      </w:r>
      <w:r w:rsidR="00D6675E" w:rsidRPr="00443573">
        <w:rPr>
          <w:rFonts w:cstheme="minorHAnsi"/>
          <w:sz w:val="24"/>
          <w:szCs w:val="24"/>
        </w:rPr>
        <w:t>Gabriela R. Oates,</w:t>
      </w:r>
      <w:r w:rsidR="00D6675E" w:rsidRPr="00443573">
        <w:rPr>
          <w:rFonts w:cstheme="minorHAnsi"/>
          <w:sz w:val="24"/>
          <w:szCs w:val="24"/>
          <w:vertAlign w:val="superscript"/>
        </w:rPr>
        <w:t xml:space="preserve">1 </w:t>
      </w:r>
      <w:r w:rsidR="00D6675E" w:rsidRPr="00443573">
        <w:rPr>
          <w:rFonts w:cstheme="minorHAnsi"/>
          <w:sz w:val="24"/>
          <w:szCs w:val="24"/>
        </w:rPr>
        <w:t>Robin Geurs,</w:t>
      </w:r>
      <w:r w:rsidR="00D6675E" w:rsidRPr="00443573">
        <w:rPr>
          <w:rFonts w:cstheme="minorHAnsi"/>
          <w:sz w:val="24"/>
          <w:szCs w:val="24"/>
          <w:vertAlign w:val="superscript"/>
        </w:rPr>
        <w:t>1</w:t>
      </w:r>
      <w:r w:rsidR="00D6675E" w:rsidRPr="00443573">
        <w:rPr>
          <w:rFonts w:cstheme="minorHAnsi"/>
          <w:sz w:val="24"/>
          <w:szCs w:val="24"/>
        </w:rPr>
        <w:t xml:space="preserve"> Cathy Mims,</w:t>
      </w:r>
      <w:r w:rsidR="00D6675E" w:rsidRPr="00443573">
        <w:rPr>
          <w:rFonts w:cstheme="minorHAnsi"/>
          <w:sz w:val="24"/>
          <w:szCs w:val="24"/>
          <w:vertAlign w:val="superscript"/>
        </w:rPr>
        <w:t>2</w:t>
      </w:r>
      <w:r w:rsidR="00D6675E" w:rsidRPr="00443573">
        <w:rPr>
          <w:rFonts w:cstheme="minorHAnsi"/>
          <w:sz w:val="24"/>
          <w:szCs w:val="24"/>
        </w:rPr>
        <w:t xml:space="preserve"> Stephanie Gamble,</w:t>
      </w:r>
      <w:r w:rsidR="00D6675E" w:rsidRPr="00443573">
        <w:rPr>
          <w:rFonts w:cstheme="minorHAnsi"/>
          <w:sz w:val="24"/>
          <w:szCs w:val="24"/>
          <w:vertAlign w:val="superscript"/>
        </w:rPr>
        <w:t>2</w:t>
      </w:r>
      <w:r w:rsidR="00D6675E" w:rsidRPr="00443573">
        <w:rPr>
          <w:rFonts w:cstheme="minorHAnsi"/>
          <w:sz w:val="24"/>
          <w:szCs w:val="24"/>
        </w:rPr>
        <w:t xml:space="preserve"> Lucia D. Juarez,</w:t>
      </w:r>
      <w:r w:rsidR="00D6675E" w:rsidRPr="00443573">
        <w:rPr>
          <w:rFonts w:cstheme="minorHAnsi"/>
          <w:sz w:val="24"/>
          <w:szCs w:val="24"/>
          <w:vertAlign w:val="superscript"/>
        </w:rPr>
        <w:t xml:space="preserve">3  </w:t>
      </w:r>
      <w:r w:rsidR="00D6675E" w:rsidRPr="00443573">
        <w:rPr>
          <w:rFonts w:cstheme="minorHAnsi"/>
          <w:sz w:val="24"/>
          <w:szCs w:val="24"/>
        </w:rPr>
        <w:t>B. Grey Vandeberg,</w:t>
      </w:r>
      <w:r w:rsidR="00D6675E" w:rsidRPr="00443573">
        <w:rPr>
          <w:rFonts w:cstheme="minorHAnsi"/>
          <w:sz w:val="24"/>
          <w:szCs w:val="24"/>
          <w:vertAlign w:val="superscript"/>
        </w:rPr>
        <w:t>3</w:t>
      </w:r>
      <w:r w:rsidR="00D6675E" w:rsidRPr="00443573">
        <w:rPr>
          <w:rFonts w:cstheme="minorHAnsi"/>
          <w:sz w:val="24"/>
          <w:szCs w:val="24"/>
        </w:rPr>
        <w:t xml:space="preserve"> Sigrid Ladores-Barrett,</w:t>
      </w:r>
      <w:r w:rsidR="00D6675E" w:rsidRPr="00443573">
        <w:rPr>
          <w:rFonts w:cstheme="minorHAnsi"/>
          <w:sz w:val="24"/>
          <w:szCs w:val="24"/>
          <w:vertAlign w:val="superscript"/>
        </w:rPr>
        <w:t>4</w:t>
      </w:r>
      <w:r w:rsidR="00D6675E" w:rsidRPr="00443573">
        <w:rPr>
          <w:rFonts w:cstheme="minorHAnsi"/>
          <w:sz w:val="24"/>
          <w:szCs w:val="24"/>
        </w:rPr>
        <w:t xml:space="preserve"> William T. Harris</w:t>
      </w:r>
      <w:r w:rsidR="00D6675E" w:rsidRPr="00443573">
        <w:rPr>
          <w:rFonts w:cstheme="minorHAnsi"/>
          <w:sz w:val="24"/>
          <w:szCs w:val="24"/>
          <w:vertAlign w:val="superscript"/>
        </w:rPr>
        <w:t>5</w:t>
      </w:r>
    </w:p>
    <w:p w14:paraId="6698E0AB" w14:textId="77777777" w:rsidR="0098362B" w:rsidRPr="00443573" w:rsidRDefault="0098362B" w:rsidP="00443573">
      <w:pPr>
        <w:spacing w:after="0" w:line="240" w:lineRule="auto"/>
        <w:jc w:val="both"/>
        <w:rPr>
          <w:b/>
          <w:sz w:val="24"/>
          <w:szCs w:val="24"/>
        </w:rPr>
      </w:pPr>
    </w:p>
    <w:p w14:paraId="11EFFD1B" w14:textId="50B79861" w:rsidR="0098362B" w:rsidRPr="00443573" w:rsidRDefault="0098362B" w:rsidP="00443573">
      <w:pPr>
        <w:spacing w:after="0" w:line="240" w:lineRule="auto"/>
        <w:jc w:val="both"/>
        <w:rPr>
          <w:b/>
          <w:sz w:val="28"/>
          <w:szCs w:val="28"/>
        </w:rPr>
      </w:pPr>
      <w:r w:rsidRPr="00443573">
        <w:rPr>
          <w:b/>
          <w:sz w:val="28"/>
          <w:szCs w:val="28"/>
        </w:rPr>
        <w:t>Affiliations:</w:t>
      </w:r>
    </w:p>
    <w:p w14:paraId="5763C7D3" w14:textId="77777777" w:rsidR="00D6675E" w:rsidRPr="00443573" w:rsidRDefault="00D6675E" w:rsidP="00443573">
      <w:pPr>
        <w:spacing w:after="0" w:line="240" w:lineRule="auto"/>
        <w:jc w:val="both"/>
        <w:rPr>
          <w:rFonts w:ascii="Calibri" w:hAnsi="Calibri" w:cs="Calibri"/>
          <w:sz w:val="24"/>
          <w:szCs w:val="24"/>
        </w:rPr>
      </w:pPr>
      <w:r w:rsidRPr="00443573">
        <w:rPr>
          <w:rFonts w:ascii="Calibri" w:hAnsi="Calibri" w:cs="Calibri"/>
          <w:sz w:val="24"/>
          <w:szCs w:val="24"/>
          <w:vertAlign w:val="superscript"/>
        </w:rPr>
        <w:t xml:space="preserve">1 </w:t>
      </w:r>
      <w:r w:rsidRPr="00443573">
        <w:rPr>
          <w:rFonts w:ascii="Calibri" w:hAnsi="Calibri" w:cs="Calibri"/>
          <w:sz w:val="24"/>
          <w:szCs w:val="24"/>
        </w:rPr>
        <w:t>Pulmonary, Allergy, and Critical Care Medicine, Heersink School of Medicine, University of Alabama at Birmingham, Birmingham, AL</w:t>
      </w:r>
    </w:p>
    <w:p w14:paraId="29F5D840" w14:textId="77777777" w:rsidR="00D6675E" w:rsidRPr="00443573" w:rsidRDefault="00D6675E" w:rsidP="00443573">
      <w:pPr>
        <w:spacing w:after="0" w:line="240" w:lineRule="auto"/>
        <w:jc w:val="both"/>
        <w:rPr>
          <w:rFonts w:ascii="Calibri" w:hAnsi="Calibri" w:cs="Calibri"/>
          <w:sz w:val="24"/>
          <w:szCs w:val="24"/>
        </w:rPr>
      </w:pPr>
      <w:r w:rsidRPr="00443573">
        <w:rPr>
          <w:rFonts w:ascii="Calibri" w:hAnsi="Calibri" w:cs="Calibri"/>
          <w:sz w:val="24"/>
          <w:szCs w:val="24"/>
          <w:vertAlign w:val="superscript"/>
        </w:rPr>
        <w:t xml:space="preserve">2 </w:t>
      </w:r>
      <w:r w:rsidRPr="00443573">
        <w:rPr>
          <w:rFonts w:ascii="Calibri" w:hAnsi="Calibri" w:cs="Calibri"/>
          <w:sz w:val="24"/>
          <w:szCs w:val="24"/>
        </w:rPr>
        <w:t>Children’s of Alabama, Birmingham, AL</w:t>
      </w:r>
    </w:p>
    <w:p w14:paraId="5775C69F" w14:textId="77777777" w:rsidR="00D6675E" w:rsidRPr="00443573" w:rsidRDefault="00D6675E" w:rsidP="00443573">
      <w:pPr>
        <w:spacing w:after="0" w:line="240" w:lineRule="auto"/>
        <w:jc w:val="both"/>
        <w:rPr>
          <w:rFonts w:ascii="Calibri" w:hAnsi="Calibri" w:cs="Calibri"/>
          <w:sz w:val="24"/>
          <w:szCs w:val="24"/>
        </w:rPr>
      </w:pPr>
      <w:r w:rsidRPr="00443573">
        <w:rPr>
          <w:rFonts w:ascii="Calibri" w:hAnsi="Calibri" w:cs="Calibri"/>
          <w:sz w:val="24"/>
          <w:szCs w:val="24"/>
          <w:vertAlign w:val="superscript"/>
        </w:rPr>
        <w:t xml:space="preserve">3 </w:t>
      </w:r>
      <w:r w:rsidRPr="00443573">
        <w:rPr>
          <w:rFonts w:ascii="Calibri" w:hAnsi="Calibri" w:cs="Calibri"/>
          <w:sz w:val="24"/>
          <w:szCs w:val="24"/>
        </w:rPr>
        <w:t>General Internal Medicine and Population Science, Heersink School of Medicine, University of Alabama at Birmingham, Birmingham, AL</w:t>
      </w:r>
    </w:p>
    <w:p w14:paraId="5C51A484" w14:textId="77777777" w:rsidR="00D6675E" w:rsidRPr="00443573" w:rsidRDefault="00D6675E" w:rsidP="00443573">
      <w:pPr>
        <w:spacing w:after="0" w:line="240" w:lineRule="auto"/>
        <w:jc w:val="both"/>
        <w:rPr>
          <w:rFonts w:ascii="Calibri" w:hAnsi="Calibri" w:cs="Calibri"/>
          <w:sz w:val="24"/>
          <w:szCs w:val="24"/>
        </w:rPr>
      </w:pPr>
      <w:r w:rsidRPr="00443573">
        <w:rPr>
          <w:rFonts w:ascii="Calibri" w:hAnsi="Calibri" w:cs="Calibri"/>
          <w:sz w:val="24"/>
          <w:szCs w:val="24"/>
          <w:vertAlign w:val="superscript"/>
        </w:rPr>
        <w:t xml:space="preserve">4 </w:t>
      </w:r>
      <w:r w:rsidRPr="00443573">
        <w:rPr>
          <w:rFonts w:ascii="Calibri" w:hAnsi="Calibri" w:cs="Calibri"/>
          <w:sz w:val="24"/>
          <w:szCs w:val="24"/>
        </w:rPr>
        <w:t>School of Nursing, University of Nevada Las Vegas, Las Vegas, NV</w:t>
      </w:r>
    </w:p>
    <w:p w14:paraId="2E5D9682" w14:textId="0FB72D5D" w:rsidR="00D6675E" w:rsidRPr="00443573" w:rsidRDefault="00D6675E" w:rsidP="00443573">
      <w:pPr>
        <w:spacing w:after="0" w:line="240" w:lineRule="auto"/>
        <w:jc w:val="both"/>
        <w:rPr>
          <w:rFonts w:ascii="Calibri" w:hAnsi="Calibri" w:cs="Calibri"/>
          <w:sz w:val="24"/>
          <w:szCs w:val="24"/>
        </w:rPr>
      </w:pPr>
      <w:r w:rsidRPr="00443573">
        <w:rPr>
          <w:rFonts w:ascii="Calibri" w:hAnsi="Calibri" w:cs="Calibri"/>
          <w:sz w:val="24"/>
          <w:szCs w:val="24"/>
          <w:vertAlign w:val="superscript"/>
        </w:rPr>
        <w:t xml:space="preserve">5 </w:t>
      </w:r>
      <w:r w:rsidRPr="00443573">
        <w:rPr>
          <w:rFonts w:ascii="Calibri" w:hAnsi="Calibri" w:cs="Calibri"/>
          <w:sz w:val="24"/>
          <w:szCs w:val="24"/>
        </w:rPr>
        <w:t>Pediatric Pulmonary and Sleep Medicine, Heersink School of Medicine, University of Alabama at Birmingham, Birmingham, AL</w:t>
      </w:r>
    </w:p>
    <w:p w14:paraId="3ECDA763" w14:textId="77777777" w:rsidR="0098362B" w:rsidRPr="00443573" w:rsidRDefault="0098362B" w:rsidP="00443573">
      <w:pPr>
        <w:spacing w:after="0" w:line="240" w:lineRule="auto"/>
        <w:jc w:val="both"/>
        <w:rPr>
          <w:b/>
          <w:sz w:val="24"/>
          <w:szCs w:val="24"/>
        </w:rPr>
      </w:pPr>
    </w:p>
    <w:p w14:paraId="729B4BBE" w14:textId="70520851" w:rsidR="0098362B" w:rsidRPr="00443573" w:rsidRDefault="0098362B" w:rsidP="00443573">
      <w:pPr>
        <w:spacing w:after="0" w:line="240" w:lineRule="auto"/>
        <w:jc w:val="both"/>
        <w:rPr>
          <w:b/>
          <w:i/>
          <w:sz w:val="28"/>
          <w:szCs w:val="28"/>
        </w:rPr>
      </w:pPr>
      <w:r w:rsidRPr="00443573">
        <w:rPr>
          <w:b/>
          <w:sz w:val="28"/>
          <w:szCs w:val="28"/>
        </w:rPr>
        <w:t>What was your research question?</w:t>
      </w:r>
      <w:r w:rsidR="00540382" w:rsidRPr="00443573">
        <w:rPr>
          <w:b/>
          <w:sz w:val="28"/>
          <w:szCs w:val="28"/>
        </w:rPr>
        <w:t xml:space="preserve"> </w:t>
      </w:r>
    </w:p>
    <w:p w14:paraId="2678C727" w14:textId="2E912690" w:rsidR="009619BD" w:rsidRPr="00443573" w:rsidRDefault="009619BD" w:rsidP="00443573">
      <w:pPr>
        <w:spacing w:after="0" w:line="240" w:lineRule="auto"/>
        <w:jc w:val="both"/>
        <w:rPr>
          <w:rFonts w:cstheme="minorHAnsi"/>
          <w:b/>
          <w:sz w:val="24"/>
          <w:szCs w:val="24"/>
        </w:rPr>
      </w:pPr>
      <w:r w:rsidRPr="00443573">
        <w:rPr>
          <w:rFonts w:cstheme="minorHAnsi"/>
          <w:sz w:val="24"/>
          <w:szCs w:val="24"/>
        </w:rPr>
        <w:t>Is it feasible for a CF care team to deliver an intervention that helps family members of children with CF stop smoking?</w:t>
      </w:r>
    </w:p>
    <w:p w14:paraId="4AB59C81" w14:textId="77777777" w:rsidR="0098362B" w:rsidRPr="00443573" w:rsidRDefault="0098362B" w:rsidP="00443573">
      <w:pPr>
        <w:spacing w:after="0" w:line="240" w:lineRule="auto"/>
        <w:jc w:val="both"/>
        <w:rPr>
          <w:b/>
          <w:sz w:val="24"/>
          <w:szCs w:val="24"/>
        </w:rPr>
      </w:pPr>
    </w:p>
    <w:p w14:paraId="22D21517" w14:textId="1615EE8F" w:rsidR="00540382" w:rsidRPr="00443573" w:rsidRDefault="0098362B" w:rsidP="00443573">
      <w:pPr>
        <w:spacing w:after="0" w:line="240" w:lineRule="auto"/>
        <w:jc w:val="both"/>
        <w:rPr>
          <w:b/>
          <w:i/>
          <w:sz w:val="28"/>
          <w:szCs w:val="28"/>
        </w:rPr>
      </w:pPr>
      <w:r w:rsidRPr="00443573">
        <w:rPr>
          <w:b/>
          <w:sz w:val="28"/>
          <w:szCs w:val="28"/>
        </w:rPr>
        <w:t>Why is this important?</w:t>
      </w:r>
      <w:r w:rsidR="00540382" w:rsidRPr="00443573">
        <w:rPr>
          <w:b/>
          <w:sz w:val="28"/>
          <w:szCs w:val="28"/>
        </w:rPr>
        <w:t xml:space="preserve"> </w:t>
      </w:r>
    </w:p>
    <w:p w14:paraId="232D3587" w14:textId="789B5B9B" w:rsidR="009619BD" w:rsidRPr="00443573" w:rsidRDefault="009619BD" w:rsidP="00443573">
      <w:pPr>
        <w:spacing w:after="0" w:line="240" w:lineRule="auto"/>
        <w:jc w:val="both"/>
        <w:rPr>
          <w:bCs/>
          <w:iCs/>
          <w:sz w:val="24"/>
          <w:szCs w:val="24"/>
        </w:rPr>
      </w:pPr>
      <w:r w:rsidRPr="00443573">
        <w:rPr>
          <w:bCs/>
          <w:iCs/>
          <w:sz w:val="24"/>
          <w:szCs w:val="24"/>
        </w:rPr>
        <w:t xml:space="preserve">Both direct and indirect exposure to tobacco smoke are damaging to the lungs of children with CF. Smoke exposure also affects the function of the CFTR gene and makes CFTR modulator drugs less effective. The US CF Foundation and the European CF Society encourage smoke-free environment. However, few smoking cessation studies for CF families have been conducted, and pragmatic guidelines on how to implement smoking cessation programs in CF clinics are lacking. </w:t>
      </w:r>
    </w:p>
    <w:p w14:paraId="5B08D8BD" w14:textId="77777777" w:rsidR="0098362B" w:rsidRPr="00443573" w:rsidRDefault="0098362B" w:rsidP="00443573">
      <w:pPr>
        <w:spacing w:after="0" w:line="240" w:lineRule="auto"/>
        <w:jc w:val="both"/>
        <w:rPr>
          <w:b/>
          <w:sz w:val="24"/>
          <w:szCs w:val="24"/>
        </w:rPr>
      </w:pPr>
    </w:p>
    <w:p w14:paraId="6263FF57" w14:textId="626DA369" w:rsidR="009619BD" w:rsidRPr="00443573" w:rsidRDefault="0098362B" w:rsidP="00443573">
      <w:pPr>
        <w:spacing w:after="0" w:line="240" w:lineRule="auto"/>
        <w:jc w:val="both"/>
        <w:rPr>
          <w:bCs/>
          <w:iCs/>
          <w:sz w:val="28"/>
          <w:szCs w:val="28"/>
        </w:rPr>
      </w:pPr>
      <w:r w:rsidRPr="00443573">
        <w:rPr>
          <w:b/>
          <w:sz w:val="28"/>
          <w:szCs w:val="28"/>
        </w:rPr>
        <w:t>What did you do?</w:t>
      </w:r>
      <w:r w:rsidR="00540382" w:rsidRPr="00443573">
        <w:rPr>
          <w:b/>
          <w:sz w:val="28"/>
          <w:szCs w:val="28"/>
        </w:rPr>
        <w:t xml:space="preserve"> </w:t>
      </w:r>
    </w:p>
    <w:p w14:paraId="71BF3942" w14:textId="61D62213" w:rsidR="00540382" w:rsidRPr="00443573" w:rsidRDefault="009619BD" w:rsidP="00443573">
      <w:pPr>
        <w:spacing w:after="0" w:line="240" w:lineRule="auto"/>
        <w:jc w:val="both"/>
        <w:rPr>
          <w:bCs/>
          <w:iCs/>
          <w:sz w:val="24"/>
          <w:szCs w:val="24"/>
        </w:rPr>
      </w:pPr>
      <w:r w:rsidRPr="00443573">
        <w:rPr>
          <w:bCs/>
          <w:iCs/>
          <w:sz w:val="24"/>
          <w:szCs w:val="24"/>
        </w:rPr>
        <w:t xml:space="preserve">We tested if an intervention tailored to CF families and implemented by a tobacco treatment specialist part of the CF care team is feasible and acceptable. Participants were smoking family members randomized to an intervention or control group. The intervention group received education about smoke exposure and its harms to children with CF, an intake assessment </w:t>
      </w:r>
      <w:r w:rsidRPr="00443573">
        <w:rPr>
          <w:bCs/>
          <w:iCs/>
          <w:sz w:val="24"/>
          <w:szCs w:val="24"/>
        </w:rPr>
        <w:lastRenderedPageBreak/>
        <w:t xml:space="preserve">(readiness to quit smoking, evaluation of needs and barriers, and motivational interviewing), and tobacco cessation treatment (nicotine-replacement therapy and 12 sessions of behavioural counselling over 6 months). The control group received the education component. In both groups, we collected quarterly questionnaires and hair samples from the child. </w:t>
      </w:r>
    </w:p>
    <w:p w14:paraId="3EE415B9" w14:textId="77777777" w:rsidR="0098362B" w:rsidRPr="00443573" w:rsidRDefault="0098362B" w:rsidP="00443573">
      <w:pPr>
        <w:spacing w:after="0" w:line="240" w:lineRule="auto"/>
        <w:jc w:val="both"/>
        <w:rPr>
          <w:b/>
          <w:sz w:val="24"/>
          <w:szCs w:val="24"/>
        </w:rPr>
      </w:pPr>
    </w:p>
    <w:p w14:paraId="584AAFED" w14:textId="2322ED94" w:rsidR="00540382" w:rsidRPr="00443573" w:rsidRDefault="0098362B" w:rsidP="00443573">
      <w:pPr>
        <w:spacing w:after="0" w:line="240" w:lineRule="auto"/>
        <w:jc w:val="both"/>
        <w:rPr>
          <w:b/>
          <w:i/>
          <w:sz w:val="28"/>
          <w:szCs w:val="28"/>
        </w:rPr>
      </w:pPr>
      <w:r w:rsidRPr="00443573">
        <w:rPr>
          <w:b/>
          <w:sz w:val="28"/>
          <w:szCs w:val="28"/>
        </w:rPr>
        <w:t>What did you find?</w:t>
      </w:r>
      <w:r w:rsidR="00540382" w:rsidRPr="00443573">
        <w:rPr>
          <w:b/>
          <w:sz w:val="28"/>
          <w:szCs w:val="28"/>
        </w:rPr>
        <w:t xml:space="preserve"> </w:t>
      </w:r>
    </w:p>
    <w:p w14:paraId="35C49B55" w14:textId="55391409" w:rsidR="009619BD" w:rsidRPr="00443573" w:rsidRDefault="009619BD" w:rsidP="00443573">
      <w:pPr>
        <w:spacing w:after="0" w:line="240" w:lineRule="auto"/>
        <w:jc w:val="both"/>
        <w:rPr>
          <w:bCs/>
          <w:iCs/>
          <w:sz w:val="24"/>
          <w:szCs w:val="24"/>
        </w:rPr>
      </w:pPr>
      <w:r w:rsidRPr="00443573">
        <w:rPr>
          <w:bCs/>
          <w:iCs/>
          <w:sz w:val="24"/>
          <w:szCs w:val="24"/>
        </w:rPr>
        <w:t xml:space="preserve">We recruited 36 participants: 24 intervention, 12 control. The intervention was feasible based on 64% accrual and 100% retention rates, and acceptable based on participant ratings of satisfaction (86%) and helpfulness (67%). CF clinical providers (n=19) scored </w:t>
      </w:r>
      <w:r w:rsidR="0055422A" w:rsidRPr="00443573">
        <w:rPr>
          <w:bCs/>
          <w:iCs/>
          <w:sz w:val="24"/>
          <w:szCs w:val="24"/>
        </w:rPr>
        <w:t>CEASE-CF</w:t>
      </w:r>
      <w:r w:rsidRPr="00443573">
        <w:rPr>
          <w:bCs/>
          <w:iCs/>
          <w:sz w:val="24"/>
          <w:szCs w:val="24"/>
        </w:rPr>
        <w:t xml:space="preserve"> as 4.7 (1-5 scale) for satisfaction, implementation, and recommendation to other clinics. At 6 months, 17% participants had stopped smoking, and 78% smoked at least 17% less, with average smoking reduction of 54%. Child hair nicotine decreased from 2.7 ng/mg to 1.1 ng/mg. Before the intervention, all children had hair nicotine above the exposure threshold of 1.0 ng/mg, but only 41% at 6 months.</w:t>
      </w:r>
    </w:p>
    <w:p w14:paraId="6FD16F68" w14:textId="77777777" w:rsidR="0098362B" w:rsidRPr="00443573" w:rsidRDefault="0098362B" w:rsidP="00443573">
      <w:pPr>
        <w:spacing w:after="0" w:line="240" w:lineRule="auto"/>
        <w:jc w:val="both"/>
        <w:rPr>
          <w:b/>
          <w:sz w:val="24"/>
          <w:szCs w:val="24"/>
        </w:rPr>
      </w:pPr>
    </w:p>
    <w:p w14:paraId="33103A36" w14:textId="0E0118F7" w:rsidR="00540382" w:rsidRPr="00443573" w:rsidRDefault="0098362B" w:rsidP="00443573">
      <w:pPr>
        <w:spacing w:after="0" w:line="240" w:lineRule="auto"/>
        <w:jc w:val="both"/>
        <w:rPr>
          <w:b/>
          <w:i/>
          <w:sz w:val="28"/>
          <w:szCs w:val="28"/>
        </w:rPr>
      </w:pPr>
      <w:r w:rsidRPr="00443573">
        <w:rPr>
          <w:b/>
          <w:sz w:val="28"/>
          <w:szCs w:val="28"/>
        </w:rPr>
        <w:t>What does this mean and reasons for caution?</w:t>
      </w:r>
      <w:r w:rsidR="00540382" w:rsidRPr="00443573">
        <w:rPr>
          <w:b/>
          <w:sz w:val="28"/>
          <w:szCs w:val="28"/>
        </w:rPr>
        <w:t xml:space="preserve"> </w:t>
      </w:r>
    </w:p>
    <w:p w14:paraId="6B52BD1B" w14:textId="741118E3" w:rsidR="0098362B" w:rsidRPr="00443573" w:rsidRDefault="0055422A" w:rsidP="00443573">
      <w:pPr>
        <w:spacing w:after="0" w:line="240" w:lineRule="auto"/>
        <w:jc w:val="both"/>
        <w:rPr>
          <w:bCs/>
          <w:sz w:val="24"/>
          <w:szCs w:val="24"/>
        </w:rPr>
      </w:pPr>
      <w:r w:rsidRPr="00443573">
        <w:rPr>
          <w:bCs/>
          <w:sz w:val="24"/>
          <w:szCs w:val="24"/>
        </w:rPr>
        <w:t>CEASE-CF was highly feasible and acceptable. Although it was not designed to test efficacy, the 6-month smoking reduction rates (53%) and quit rates (17%), for a total of 70% either quitting or reducing smoking, indicate a potential effectiveness. The steep decline in child hair nicotine (55%) confirms the self-reported rates. Reasons for caution include the small sample and the pilot nature of the study with exploratory statistical testing. The small sample size resulted in imbalanced randomization, with all grandparents assigned to the intervention group. Within 3 months, 4 participants from the control group requested to get the full intervention.</w:t>
      </w:r>
    </w:p>
    <w:p w14:paraId="60D70B80" w14:textId="77777777" w:rsidR="0055422A" w:rsidRPr="00443573" w:rsidRDefault="0055422A" w:rsidP="00443573">
      <w:pPr>
        <w:spacing w:after="0" w:line="240" w:lineRule="auto"/>
        <w:jc w:val="both"/>
        <w:rPr>
          <w:bCs/>
          <w:sz w:val="24"/>
          <w:szCs w:val="24"/>
        </w:rPr>
      </w:pPr>
    </w:p>
    <w:p w14:paraId="635AB057" w14:textId="5B27792C" w:rsidR="00540382" w:rsidRPr="00443573" w:rsidRDefault="0098362B" w:rsidP="00443573">
      <w:pPr>
        <w:spacing w:after="0" w:line="240" w:lineRule="auto"/>
        <w:jc w:val="both"/>
        <w:rPr>
          <w:b/>
          <w:sz w:val="28"/>
          <w:szCs w:val="28"/>
        </w:rPr>
      </w:pPr>
      <w:r w:rsidRPr="00443573">
        <w:rPr>
          <w:b/>
          <w:sz w:val="28"/>
          <w:szCs w:val="28"/>
        </w:rPr>
        <w:t>What’s next?</w:t>
      </w:r>
      <w:r w:rsidR="00540382" w:rsidRPr="00443573">
        <w:rPr>
          <w:b/>
          <w:sz w:val="28"/>
          <w:szCs w:val="28"/>
        </w:rPr>
        <w:t xml:space="preserve"> </w:t>
      </w:r>
    </w:p>
    <w:p w14:paraId="33B46237" w14:textId="510501F2" w:rsidR="00540382" w:rsidRDefault="0055422A" w:rsidP="00443573">
      <w:pPr>
        <w:spacing w:line="240" w:lineRule="auto"/>
        <w:jc w:val="both"/>
        <w:rPr>
          <w:bCs/>
          <w:sz w:val="24"/>
          <w:szCs w:val="24"/>
        </w:rPr>
      </w:pPr>
      <w:r w:rsidRPr="00443573">
        <w:rPr>
          <w:bCs/>
          <w:sz w:val="24"/>
          <w:szCs w:val="24"/>
        </w:rPr>
        <w:t>CEASE-CF is a blueprint for implementing smoking cessation programs in CF care settings. The approach is feasible, well-received by families and clinical providers, and effective. Combined with prior evidence of the harms of smoke exposure, these results suggest that smoking cessation should become a standard part of CF care.</w:t>
      </w:r>
    </w:p>
    <w:p w14:paraId="7ABCD334" w14:textId="77777777" w:rsidR="001A146B" w:rsidRDefault="001A146B" w:rsidP="00443573">
      <w:pPr>
        <w:spacing w:line="240" w:lineRule="auto"/>
        <w:jc w:val="both"/>
        <w:rPr>
          <w:bCs/>
          <w:sz w:val="24"/>
          <w:szCs w:val="24"/>
        </w:rPr>
      </w:pPr>
    </w:p>
    <w:p w14:paraId="16BC8AD8" w14:textId="0B2BF670" w:rsidR="001A146B" w:rsidRDefault="001A146B" w:rsidP="00443573">
      <w:pPr>
        <w:spacing w:line="240" w:lineRule="auto"/>
        <w:jc w:val="both"/>
        <w:rPr>
          <w:bCs/>
          <w:sz w:val="24"/>
          <w:szCs w:val="24"/>
        </w:rPr>
      </w:pPr>
      <w:r>
        <w:rPr>
          <w:bCs/>
          <w:sz w:val="24"/>
          <w:szCs w:val="24"/>
        </w:rPr>
        <w:t>Original citation on P</w:t>
      </w:r>
    </w:p>
    <w:p w14:paraId="3A7E17D4" w14:textId="711E5747" w:rsidR="001A146B" w:rsidRDefault="001A146B" w:rsidP="00443573">
      <w:pPr>
        <w:spacing w:line="240" w:lineRule="auto"/>
        <w:jc w:val="both"/>
        <w:rPr>
          <w:bCs/>
          <w:sz w:val="24"/>
          <w:szCs w:val="24"/>
        </w:rPr>
      </w:pPr>
      <w:hyperlink r:id="rId9" w:history="1">
        <w:r w:rsidRPr="00D85E0B">
          <w:rPr>
            <w:rStyle w:val="Hyperlink"/>
            <w:bCs/>
            <w:sz w:val="24"/>
            <w:szCs w:val="24"/>
          </w:rPr>
          <w:t>https://pubmed.ncbi.nlm.nih.gov/41611592</w:t>
        </w:r>
        <w:r w:rsidRPr="00D85E0B">
          <w:rPr>
            <w:rStyle w:val="Hyperlink"/>
            <w:bCs/>
            <w:sz w:val="24"/>
            <w:szCs w:val="24"/>
          </w:rPr>
          <w:t>/</w:t>
        </w:r>
      </w:hyperlink>
    </w:p>
    <w:p w14:paraId="33E10AE3" w14:textId="77777777" w:rsidR="001A146B" w:rsidRPr="00443573" w:rsidRDefault="001A146B" w:rsidP="00443573">
      <w:pPr>
        <w:spacing w:line="240" w:lineRule="auto"/>
        <w:jc w:val="both"/>
        <w:rPr>
          <w:bCs/>
          <w:sz w:val="24"/>
          <w:szCs w:val="24"/>
        </w:rPr>
      </w:pPr>
    </w:p>
    <w:sectPr w:rsidR="001A146B" w:rsidRPr="0044357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B0B2" w14:textId="77777777" w:rsidR="00450A1B" w:rsidRDefault="00450A1B" w:rsidP="008B1278">
      <w:pPr>
        <w:spacing w:after="0" w:line="240" w:lineRule="auto"/>
      </w:pPr>
      <w:r>
        <w:separator/>
      </w:r>
    </w:p>
  </w:endnote>
  <w:endnote w:type="continuationSeparator" w:id="0">
    <w:p w14:paraId="191DE986" w14:textId="77777777" w:rsidR="00450A1B" w:rsidRDefault="00450A1B"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494A" w14:textId="77777777" w:rsidR="00450A1B" w:rsidRDefault="00450A1B" w:rsidP="008B1278">
      <w:pPr>
        <w:spacing w:after="0" w:line="240" w:lineRule="auto"/>
      </w:pPr>
      <w:r>
        <w:separator/>
      </w:r>
    </w:p>
  </w:footnote>
  <w:footnote w:type="continuationSeparator" w:id="0">
    <w:p w14:paraId="3A9F22C1" w14:textId="77777777" w:rsidR="00450A1B" w:rsidRDefault="00450A1B"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56404"/>
    <w:rsid w:val="001A146B"/>
    <w:rsid w:val="00257E89"/>
    <w:rsid w:val="002C1AE6"/>
    <w:rsid w:val="003424BA"/>
    <w:rsid w:val="00443573"/>
    <w:rsid w:val="00450A1B"/>
    <w:rsid w:val="0049290B"/>
    <w:rsid w:val="00540382"/>
    <w:rsid w:val="0055422A"/>
    <w:rsid w:val="005568C3"/>
    <w:rsid w:val="006A7976"/>
    <w:rsid w:val="00717EB1"/>
    <w:rsid w:val="007C34C3"/>
    <w:rsid w:val="007E5BF5"/>
    <w:rsid w:val="008B1278"/>
    <w:rsid w:val="009619BD"/>
    <w:rsid w:val="0098362B"/>
    <w:rsid w:val="00BF4EC4"/>
    <w:rsid w:val="00CF30A7"/>
    <w:rsid w:val="00D02157"/>
    <w:rsid w:val="00D05492"/>
    <w:rsid w:val="00D36FED"/>
    <w:rsid w:val="00D6675E"/>
    <w:rsid w:val="00E0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1A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61159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FCD73-3E23-4B7F-87CA-DFAE23104149}"/>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60</TotalTime>
  <Pages>3</Pages>
  <Words>644</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2026-02-27T20:33:00Z</dcterms:created>
  <dcterms:modified xsi:type="dcterms:W3CDTF">2026-03-26T15:48:00Z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y fmtid="{D5CDD505-2E9C-101B-9397-08002B2CF9AE}" pid="4" name="MSIP_Label_ae7542bc-63e5-412b-b0a0-d9586028a7d0_Enabled">
    <vt:lpwstr>true</vt:lpwstr>
  </property>
  <property fmtid="{D5CDD505-2E9C-101B-9397-08002B2CF9AE}" pid="5" name="MSIP_Label_ae7542bc-63e5-412b-b0a0-d9586028a7d0_SetDate">
    <vt:lpwstr>2026-03-01T15:36:04Z</vt:lpwstr>
  </property>
  <property fmtid="{D5CDD505-2E9C-101B-9397-08002B2CF9AE}" pid="6" name="MSIP_Label_ae7542bc-63e5-412b-b0a0-d9586028a7d0_Method">
    <vt:lpwstr>Standard</vt:lpwstr>
  </property>
  <property fmtid="{D5CDD505-2E9C-101B-9397-08002B2CF9AE}" pid="7" name="MSIP_Label_ae7542bc-63e5-412b-b0a0-d9586028a7d0_Name">
    <vt:lpwstr>Sensitive</vt:lpwstr>
  </property>
  <property fmtid="{D5CDD505-2E9C-101B-9397-08002B2CF9AE}" pid="8" name="MSIP_Label_ae7542bc-63e5-412b-b0a0-d9586028a7d0_SiteId">
    <vt:lpwstr>d8999fe4-76af-40b3-b435-1d8977abc08c</vt:lpwstr>
  </property>
  <property fmtid="{D5CDD505-2E9C-101B-9397-08002B2CF9AE}" pid="9" name="MSIP_Label_ae7542bc-63e5-412b-b0a0-d9586028a7d0_ActionId">
    <vt:lpwstr>53aaf944-22e5-41ea-80af-9fcb2cc7782f</vt:lpwstr>
  </property>
  <property fmtid="{D5CDD505-2E9C-101B-9397-08002B2CF9AE}" pid="10" name="MSIP_Label_ae7542bc-63e5-412b-b0a0-d9586028a7d0_ContentBits">
    <vt:lpwstr>0</vt:lpwstr>
  </property>
  <property fmtid="{D5CDD505-2E9C-101B-9397-08002B2CF9AE}" pid="11" name="MSIP_Label_ae7542bc-63e5-412b-b0a0-d9586028a7d0_Tag">
    <vt:lpwstr>50, 3, 0, 1</vt:lpwstr>
  </property>
</Properties>
</file>