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8EC4D" w14:textId="77777777" w:rsidR="003B3D2E" w:rsidRDefault="0038637E" w:rsidP="00961FE7">
      <w:pPr>
        <w:spacing w:after="0" w:line="240" w:lineRule="auto"/>
        <w:jc w:val="both"/>
        <w:rPr>
          <w:b/>
          <w:sz w:val="28"/>
          <w:szCs w:val="28"/>
        </w:rPr>
      </w:pPr>
      <w:r>
        <w:rPr>
          <w:b/>
          <w:sz w:val="28"/>
          <w:szCs w:val="28"/>
        </w:rPr>
        <w:t xml:space="preserve">Title: </w:t>
      </w:r>
      <w:r w:rsidRPr="00961FE7">
        <w:rPr>
          <w:sz w:val="24"/>
          <w:szCs w:val="24"/>
        </w:rPr>
        <w:t>Sexual Health Experiences and Care Utilization of Males with Cystic Fibrosis</w:t>
      </w:r>
      <w:r>
        <w:rPr>
          <w:sz w:val="28"/>
          <w:szCs w:val="28"/>
        </w:rPr>
        <w:t xml:space="preserve"> </w:t>
      </w:r>
    </w:p>
    <w:p w14:paraId="68EE0F2D" w14:textId="77777777" w:rsidR="003B3D2E" w:rsidRDefault="003B3D2E" w:rsidP="00961FE7">
      <w:pPr>
        <w:spacing w:after="0" w:line="240" w:lineRule="auto"/>
        <w:jc w:val="both"/>
        <w:rPr>
          <w:b/>
          <w:sz w:val="28"/>
          <w:szCs w:val="28"/>
        </w:rPr>
      </w:pPr>
    </w:p>
    <w:p w14:paraId="0FC91CF3" w14:textId="29093312" w:rsidR="003B3D2E" w:rsidRPr="00961FE7" w:rsidRDefault="0038637E" w:rsidP="00961FE7">
      <w:pPr>
        <w:spacing w:after="0" w:line="240" w:lineRule="auto"/>
        <w:jc w:val="both"/>
        <w:rPr>
          <w:b/>
          <w:sz w:val="24"/>
          <w:szCs w:val="24"/>
        </w:rPr>
      </w:pPr>
      <w:r>
        <w:rPr>
          <w:b/>
          <w:sz w:val="28"/>
          <w:szCs w:val="28"/>
        </w:rPr>
        <w:t xml:space="preserve">Lay Title: </w:t>
      </w:r>
      <w:r w:rsidRPr="00961FE7">
        <w:rPr>
          <w:sz w:val="24"/>
          <w:szCs w:val="24"/>
        </w:rPr>
        <w:t>Sexual activity and Sexual Health</w:t>
      </w:r>
      <w:r w:rsidR="000B1632" w:rsidRPr="00961FE7">
        <w:rPr>
          <w:sz w:val="24"/>
          <w:szCs w:val="24"/>
        </w:rPr>
        <w:t>c</w:t>
      </w:r>
      <w:r w:rsidRPr="00961FE7">
        <w:rPr>
          <w:sz w:val="24"/>
          <w:szCs w:val="24"/>
        </w:rPr>
        <w:t>are of Teen and Adult M</w:t>
      </w:r>
      <w:r w:rsidR="000B1632" w:rsidRPr="00961FE7">
        <w:rPr>
          <w:sz w:val="24"/>
          <w:szCs w:val="24"/>
        </w:rPr>
        <w:t>ales</w:t>
      </w:r>
      <w:r w:rsidRPr="00961FE7">
        <w:rPr>
          <w:sz w:val="24"/>
          <w:szCs w:val="24"/>
        </w:rPr>
        <w:t xml:space="preserve"> with Cystic Fibrosis</w:t>
      </w:r>
    </w:p>
    <w:p w14:paraId="31684376" w14:textId="77777777" w:rsidR="003B3D2E" w:rsidRDefault="003B3D2E">
      <w:pPr>
        <w:spacing w:after="0" w:line="240" w:lineRule="auto"/>
        <w:rPr>
          <w:sz w:val="28"/>
          <w:szCs w:val="28"/>
        </w:rPr>
      </w:pPr>
    </w:p>
    <w:p w14:paraId="07F0CDA7" w14:textId="77777777" w:rsidR="003B3D2E" w:rsidRPr="00961FE7" w:rsidRDefault="0038637E" w:rsidP="00961FE7">
      <w:pPr>
        <w:spacing w:after="0" w:line="240" w:lineRule="auto"/>
        <w:jc w:val="both"/>
        <w:rPr>
          <w:rFonts w:cstheme="minorHAnsi"/>
          <w:b/>
          <w:sz w:val="24"/>
          <w:szCs w:val="24"/>
        </w:rPr>
      </w:pPr>
      <w:r>
        <w:rPr>
          <w:b/>
          <w:sz w:val="28"/>
          <w:szCs w:val="28"/>
        </w:rPr>
        <w:t xml:space="preserve">Authors: </w:t>
      </w:r>
      <w:r w:rsidRPr="00961FE7">
        <w:rPr>
          <w:rFonts w:eastAsia="Times New Roman" w:cstheme="minorHAnsi"/>
          <w:sz w:val="24"/>
          <w:szCs w:val="24"/>
        </w:rPr>
        <w:t xml:space="preserve">Traci M </w:t>
      </w:r>
      <w:proofErr w:type="spellStart"/>
      <w:r w:rsidRPr="00961FE7">
        <w:rPr>
          <w:rFonts w:eastAsia="Times New Roman" w:cstheme="minorHAnsi"/>
          <w:sz w:val="24"/>
          <w:szCs w:val="24"/>
        </w:rPr>
        <w:t>Kazmerski</w:t>
      </w:r>
      <w:r w:rsidRPr="00961FE7">
        <w:rPr>
          <w:rFonts w:eastAsia="Times New Roman" w:cstheme="minorHAnsi"/>
          <w:sz w:val="24"/>
          <w:szCs w:val="24"/>
          <w:vertAlign w:val="superscript"/>
        </w:rPr>
        <w:t>a,b</w:t>
      </w:r>
      <w:proofErr w:type="spellEnd"/>
      <w:r w:rsidRPr="00961FE7">
        <w:rPr>
          <w:rFonts w:eastAsia="Times New Roman" w:cstheme="minorHAnsi"/>
          <w:sz w:val="24"/>
          <w:szCs w:val="24"/>
        </w:rPr>
        <w:t xml:space="preserve">, Olivia M </w:t>
      </w:r>
      <w:proofErr w:type="spellStart"/>
      <w:r w:rsidRPr="00961FE7">
        <w:rPr>
          <w:rFonts w:eastAsia="Times New Roman" w:cstheme="minorHAnsi"/>
          <w:sz w:val="24"/>
          <w:szCs w:val="24"/>
        </w:rPr>
        <w:t>Stransky</w:t>
      </w:r>
      <w:r w:rsidRPr="00961FE7">
        <w:rPr>
          <w:rFonts w:eastAsia="Times New Roman" w:cstheme="minorHAnsi"/>
          <w:sz w:val="24"/>
          <w:szCs w:val="24"/>
          <w:vertAlign w:val="superscript"/>
        </w:rPr>
        <w:t>a,b</w:t>
      </w:r>
      <w:proofErr w:type="spellEnd"/>
      <w:r w:rsidRPr="00961FE7">
        <w:rPr>
          <w:rFonts w:eastAsia="Times New Roman" w:cstheme="minorHAnsi"/>
          <w:sz w:val="24"/>
          <w:szCs w:val="24"/>
        </w:rPr>
        <w:t>, Catherine E Wright</w:t>
      </w:r>
      <w:r w:rsidRPr="00961FE7">
        <w:rPr>
          <w:rFonts w:eastAsia="Times New Roman" w:cstheme="minorHAnsi"/>
          <w:sz w:val="24"/>
          <w:szCs w:val="24"/>
          <w:vertAlign w:val="superscript"/>
        </w:rPr>
        <w:t>b</w:t>
      </w:r>
      <w:r w:rsidRPr="00961FE7">
        <w:rPr>
          <w:rFonts w:eastAsia="Times New Roman" w:cstheme="minorHAnsi"/>
          <w:sz w:val="24"/>
          <w:szCs w:val="24"/>
        </w:rPr>
        <w:t>, Ishaan Jathal</w:t>
      </w:r>
      <w:r w:rsidRPr="00961FE7">
        <w:rPr>
          <w:rFonts w:eastAsia="Times New Roman" w:cstheme="minorHAnsi"/>
          <w:sz w:val="24"/>
          <w:szCs w:val="24"/>
          <w:vertAlign w:val="superscript"/>
        </w:rPr>
        <w:t>a</w:t>
      </w:r>
      <w:r w:rsidRPr="00961FE7">
        <w:rPr>
          <w:rFonts w:eastAsia="Times New Roman" w:cstheme="minorHAnsi"/>
          <w:sz w:val="24"/>
          <w:szCs w:val="24"/>
        </w:rPr>
        <w:t xml:space="preserve">, Asher </w:t>
      </w:r>
      <w:proofErr w:type="spellStart"/>
      <w:r w:rsidRPr="00961FE7">
        <w:rPr>
          <w:rFonts w:eastAsia="Times New Roman" w:cstheme="minorHAnsi"/>
          <w:sz w:val="24"/>
          <w:szCs w:val="24"/>
        </w:rPr>
        <w:t>Prangley</w:t>
      </w:r>
      <w:r w:rsidRPr="00961FE7">
        <w:rPr>
          <w:rFonts w:eastAsia="Times New Roman" w:cstheme="minorHAnsi"/>
          <w:sz w:val="24"/>
          <w:szCs w:val="24"/>
          <w:vertAlign w:val="superscript"/>
        </w:rPr>
        <w:t>a,b</w:t>
      </w:r>
      <w:proofErr w:type="spellEnd"/>
      <w:r w:rsidRPr="00961FE7">
        <w:rPr>
          <w:rFonts w:eastAsia="Times New Roman" w:cstheme="minorHAnsi"/>
          <w:sz w:val="24"/>
          <w:szCs w:val="24"/>
        </w:rPr>
        <w:t xml:space="preserve">, Vin </w:t>
      </w:r>
      <w:proofErr w:type="spellStart"/>
      <w:r w:rsidRPr="00961FE7">
        <w:rPr>
          <w:rFonts w:eastAsia="Times New Roman" w:cstheme="minorHAnsi"/>
          <w:sz w:val="24"/>
          <w:szCs w:val="24"/>
        </w:rPr>
        <w:t>Tangpricha</w:t>
      </w:r>
      <w:r w:rsidRPr="00961FE7">
        <w:rPr>
          <w:rFonts w:eastAsia="Times New Roman" w:cstheme="minorHAnsi"/>
          <w:sz w:val="24"/>
          <w:szCs w:val="24"/>
          <w:vertAlign w:val="superscript"/>
        </w:rPr>
        <w:t>c,d</w:t>
      </w:r>
      <w:proofErr w:type="spellEnd"/>
      <w:r w:rsidRPr="00961FE7">
        <w:rPr>
          <w:rFonts w:eastAsia="Times New Roman" w:cstheme="minorHAnsi"/>
          <w:sz w:val="24"/>
          <w:szCs w:val="24"/>
        </w:rPr>
        <w:t>, Raksha Jain</w:t>
      </w:r>
      <w:r w:rsidRPr="00961FE7">
        <w:rPr>
          <w:rFonts w:eastAsia="Times New Roman" w:cstheme="minorHAnsi"/>
          <w:sz w:val="24"/>
          <w:szCs w:val="24"/>
          <w:vertAlign w:val="superscript"/>
        </w:rPr>
        <w:t>e</w:t>
      </w:r>
      <w:r w:rsidRPr="00961FE7">
        <w:rPr>
          <w:rFonts w:eastAsia="Times New Roman" w:cstheme="minorHAnsi"/>
          <w:sz w:val="24"/>
          <w:szCs w:val="24"/>
        </w:rPr>
        <w:t>, Sigrid Ladores Barrett</w:t>
      </w:r>
      <w:r w:rsidRPr="00961FE7">
        <w:rPr>
          <w:rFonts w:eastAsia="Times New Roman" w:cstheme="minorHAnsi"/>
          <w:sz w:val="24"/>
          <w:szCs w:val="24"/>
          <w:vertAlign w:val="superscript"/>
        </w:rPr>
        <w:t>f</w:t>
      </w:r>
      <w:r w:rsidRPr="00961FE7">
        <w:rPr>
          <w:rFonts w:eastAsia="Times New Roman" w:cstheme="minorHAnsi"/>
          <w:sz w:val="24"/>
          <w:szCs w:val="24"/>
        </w:rPr>
        <w:t>, Kara S Hughan</w:t>
      </w:r>
      <w:r w:rsidRPr="00961FE7">
        <w:rPr>
          <w:rFonts w:eastAsia="Times New Roman" w:cstheme="minorHAnsi"/>
          <w:sz w:val="24"/>
          <w:szCs w:val="24"/>
          <w:vertAlign w:val="superscript"/>
        </w:rPr>
        <w:t>a</w:t>
      </w:r>
      <w:r w:rsidRPr="00961FE7">
        <w:rPr>
          <w:rFonts w:eastAsia="Times New Roman" w:cstheme="minorHAnsi"/>
          <w:sz w:val="24"/>
          <w:szCs w:val="24"/>
        </w:rPr>
        <w:t>, Natalie E West</w:t>
      </w:r>
      <w:r w:rsidRPr="00961FE7">
        <w:rPr>
          <w:rFonts w:eastAsia="Times New Roman" w:cstheme="minorHAnsi"/>
          <w:sz w:val="24"/>
          <w:szCs w:val="24"/>
          <w:vertAlign w:val="superscript"/>
        </w:rPr>
        <w:t>g</w:t>
      </w:r>
      <w:r w:rsidRPr="00961FE7">
        <w:rPr>
          <w:rFonts w:eastAsia="Times New Roman" w:cstheme="minorHAnsi"/>
          <w:sz w:val="24"/>
          <w:szCs w:val="24"/>
        </w:rPr>
        <w:t>, Jennifer L Taylor-</w:t>
      </w:r>
      <w:proofErr w:type="spellStart"/>
      <w:r w:rsidRPr="00961FE7">
        <w:rPr>
          <w:rFonts w:eastAsia="Times New Roman" w:cstheme="minorHAnsi"/>
          <w:sz w:val="24"/>
          <w:szCs w:val="24"/>
        </w:rPr>
        <w:t>Cousar</w:t>
      </w:r>
      <w:r w:rsidRPr="00961FE7">
        <w:rPr>
          <w:rFonts w:eastAsia="Times New Roman" w:cstheme="minorHAnsi"/>
          <w:sz w:val="24"/>
          <w:szCs w:val="24"/>
          <w:vertAlign w:val="superscript"/>
        </w:rPr>
        <w:t>h</w:t>
      </w:r>
      <w:proofErr w:type="spellEnd"/>
      <w:r w:rsidRPr="00961FE7">
        <w:rPr>
          <w:rFonts w:eastAsia="Times New Roman" w:cstheme="minorHAnsi"/>
          <w:sz w:val="24"/>
          <w:szCs w:val="24"/>
        </w:rPr>
        <w:t xml:space="preserve">, and Gregory S </w:t>
      </w:r>
      <w:proofErr w:type="spellStart"/>
      <w:r w:rsidRPr="00961FE7">
        <w:rPr>
          <w:rFonts w:eastAsia="Times New Roman" w:cstheme="minorHAnsi"/>
          <w:sz w:val="24"/>
          <w:szCs w:val="24"/>
        </w:rPr>
        <w:t>Sawicki</w:t>
      </w:r>
      <w:r w:rsidRPr="00961FE7">
        <w:rPr>
          <w:rFonts w:eastAsia="Times New Roman" w:cstheme="minorHAnsi"/>
          <w:sz w:val="24"/>
          <w:szCs w:val="24"/>
          <w:vertAlign w:val="superscript"/>
        </w:rPr>
        <w:t>i</w:t>
      </w:r>
      <w:proofErr w:type="spellEnd"/>
    </w:p>
    <w:p w14:paraId="3C0E3398" w14:textId="77777777" w:rsidR="003B3D2E" w:rsidRDefault="003B3D2E">
      <w:pPr>
        <w:spacing w:after="0" w:line="240" w:lineRule="auto"/>
        <w:rPr>
          <w:b/>
          <w:sz w:val="28"/>
          <w:szCs w:val="28"/>
        </w:rPr>
      </w:pPr>
    </w:p>
    <w:p w14:paraId="07DE2357" w14:textId="77777777" w:rsidR="003B3D2E" w:rsidRDefault="0038637E">
      <w:pPr>
        <w:spacing w:after="0" w:line="240" w:lineRule="auto"/>
      </w:pPr>
      <w:r>
        <w:rPr>
          <w:b/>
          <w:sz w:val="28"/>
          <w:szCs w:val="28"/>
        </w:rPr>
        <w:t xml:space="preserve">Affiliations: </w:t>
      </w:r>
    </w:p>
    <w:p w14:paraId="6FFE8144" w14:textId="77777777" w:rsidR="003B3D2E" w:rsidRPr="00961FE7" w:rsidRDefault="0038637E" w:rsidP="00961FE7">
      <w:pPr>
        <w:numPr>
          <w:ilvl w:val="0"/>
          <w:numId w:val="1"/>
        </w:numPr>
        <w:spacing w:line="240" w:lineRule="auto"/>
        <w:jc w:val="both"/>
        <w:rPr>
          <w:rFonts w:cstheme="minorHAnsi"/>
          <w:sz w:val="24"/>
          <w:szCs w:val="24"/>
        </w:rPr>
      </w:pPr>
      <w:r w:rsidRPr="00961FE7">
        <w:rPr>
          <w:rFonts w:eastAsia="Times New Roman" w:cstheme="minorHAnsi"/>
          <w:sz w:val="24"/>
          <w:szCs w:val="24"/>
        </w:rPr>
        <w:t>Department of Pediatrics, University of Pittsburgh School of Medicine, Pittsburgh, PA, United States</w:t>
      </w:r>
    </w:p>
    <w:p w14:paraId="11B2048B" w14:textId="77777777" w:rsidR="003B3D2E" w:rsidRPr="00961FE7" w:rsidRDefault="0038637E" w:rsidP="00961FE7">
      <w:pPr>
        <w:numPr>
          <w:ilvl w:val="0"/>
          <w:numId w:val="1"/>
        </w:numPr>
        <w:spacing w:line="240" w:lineRule="auto"/>
        <w:jc w:val="both"/>
        <w:rPr>
          <w:rFonts w:cstheme="minorHAnsi"/>
          <w:sz w:val="24"/>
          <w:szCs w:val="24"/>
        </w:rPr>
      </w:pPr>
      <w:r w:rsidRPr="00961FE7">
        <w:rPr>
          <w:rFonts w:eastAsia="Times New Roman" w:cstheme="minorHAnsi"/>
          <w:sz w:val="24"/>
          <w:szCs w:val="24"/>
        </w:rPr>
        <w:t xml:space="preserve">CONVERGE, University of Pittsburgh, Pittsburgh, PA, United States </w:t>
      </w:r>
    </w:p>
    <w:p w14:paraId="7564FF1E" w14:textId="77777777" w:rsidR="003B3D2E" w:rsidRPr="00961FE7" w:rsidRDefault="0038637E" w:rsidP="00961FE7">
      <w:pPr>
        <w:numPr>
          <w:ilvl w:val="0"/>
          <w:numId w:val="1"/>
        </w:numPr>
        <w:spacing w:line="240" w:lineRule="auto"/>
        <w:jc w:val="both"/>
        <w:rPr>
          <w:rFonts w:cstheme="minorHAnsi"/>
          <w:sz w:val="24"/>
          <w:szCs w:val="24"/>
        </w:rPr>
      </w:pPr>
      <w:r w:rsidRPr="00961FE7">
        <w:rPr>
          <w:rFonts w:eastAsia="Times New Roman" w:cstheme="minorHAnsi"/>
          <w:sz w:val="24"/>
          <w:szCs w:val="24"/>
        </w:rPr>
        <w:t>Division of Endocrinology, Metabolism, and Lipids, Department of Medicine, Emory University School of Medicine, Atlanta, GA, United States</w:t>
      </w:r>
    </w:p>
    <w:p w14:paraId="3E9C0BB3" w14:textId="77777777" w:rsidR="003B3D2E" w:rsidRPr="00961FE7" w:rsidRDefault="0038637E" w:rsidP="00961FE7">
      <w:pPr>
        <w:numPr>
          <w:ilvl w:val="0"/>
          <w:numId w:val="1"/>
        </w:numPr>
        <w:spacing w:line="240" w:lineRule="auto"/>
        <w:jc w:val="both"/>
        <w:rPr>
          <w:rFonts w:cstheme="minorHAnsi"/>
          <w:sz w:val="24"/>
          <w:szCs w:val="24"/>
        </w:rPr>
      </w:pPr>
      <w:r w:rsidRPr="00961FE7">
        <w:rPr>
          <w:rFonts w:eastAsia="Times New Roman" w:cstheme="minorHAnsi"/>
          <w:sz w:val="24"/>
          <w:szCs w:val="24"/>
        </w:rPr>
        <w:t xml:space="preserve">Atlanta Veterans Medical </w:t>
      </w:r>
      <w:proofErr w:type="spellStart"/>
      <w:r w:rsidRPr="00961FE7">
        <w:rPr>
          <w:rFonts w:eastAsia="Times New Roman" w:cstheme="minorHAnsi"/>
          <w:sz w:val="24"/>
          <w:szCs w:val="24"/>
        </w:rPr>
        <w:t>Center</w:t>
      </w:r>
      <w:proofErr w:type="spellEnd"/>
      <w:r w:rsidRPr="00961FE7">
        <w:rPr>
          <w:rFonts w:eastAsia="Times New Roman" w:cstheme="minorHAnsi"/>
          <w:sz w:val="24"/>
          <w:szCs w:val="24"/>
        </w:rPr>
        <w:t xml:space="preserve">, Decatur, GA, United States </w:t>
      </w:r>
    </w:p>
    <w:p w14:paraId="037997CA" w14:textId="77777777" w:rsidR="003B3D2E" w:rsidRPr="00961FE7" w:rsidRDefault="0038637E" w:rsidP="00961FE7">
      <w:pPr>
        <w:numPr>
          <w:ilvl w:val="0"/>
          <w:numId w:val="1"/>
        </w:numPr>
        <w:spacing w:line="240" w:lineRule="auto"/>
        <w:jc w:val="both"/>
        <w:rPr>
          <w:rFonts w:cstheme="minorHAnsi"/>
          <w:sz w:val="24"/>
          <w:szCs w:val="24"/>
        </w:rPr>
      </w:pPr>
      <w:r w:rsidRPr="00961FE7">
        <w:rPr>
          <w:rFonts w:eastAsia="Times New Roman" w:cstheme="minorHAnsi"/>
          <w:sz w:val="24"/>
          <w:szCs w:val="24"/>
        </w:rPr>
        <w:t xml:space="preserve">Internal Medicine, Pulmonary and Critical Care, University of Texas Southwestern Medical </w:t>
      </w:r>
      <w:proofErr w:type="spellStart"/>
      <w:r w:rsidRPr="00961FE7">
        <w:rPr>
          <w:rFonts w:eastAsia="Times New Roman" w:cstheme="minorHAnsi"/>
          <w:sz w:val="24"/>
          <w:szCs w:val="24"/>
        </w:rPr>
        <w:t>Center</w:t>
      </w:r>
      <w:proofErr w:type="spellEnd"/>
      <w:r w:rsidRPr="00961FE7">
        <w:rPr>
          <w:rFonts w:eastAsia="Times New Roman" w:cstheme="minorHAnsi"/>
          <w:sz w:val="24"/>
          <w:szCs w:val="24"/>
        </w:rPr>
        <w:t>, Dallas, TX, United States</w:t>
      </w:r>
    </w:p>
    <w:p w14:paraId="6AC0D7FA" w14:textId="77777777" w:rsidR="003B3D2E" w:rsidRPr="00961FE7" w:rsidRDefault="0038637E" w:rsidP="00961FE7">
      <w:pPr>
        <w:numPr>
          <w:ilvl w:val="0"/>
          <w:numId w:val="1"/>
        </w:numPr>
        <w:spacing w:line="240" w:lineRule="auto"/>
        <w:jc w:val="both"/>
        <w:rPr>
          <w:rFonts w:cstheme="minorHAnsi"/>
          <w:sz w:val="24"/>
          <w:szCs w:val="24"/>
        </w:rPr>
      </w:pPr>
      <w:r w:rsidRPr="00961FE7">
        <w:rPr>
          <w:rFonts w:eastAsia="Times New Roman" w:cstheme="minorHAnsi"/>
          <w:sz w:val="24"/>
          <w:szCs w:val="24"/>
        </w:rPr>
        <w:t>University of Nevada Las Vegas School of Nursing, Las Vegas, NV, United States</w:t>
      </w:r>
    </w:p>
    <w:p w14:paraId="032A897C" w14:textId="77777777" w:rsidR="003B3D2E" w:rsidRPr="00961FE7" w:rsidRDefault="0038637E" w:rsidP="00961FE7">
      <w:pPr>
        <w:numPr>
          <w:ilvl w:val="0"/>
          <w:numId w:val="1"/>
        </w:numPr>
        <w:spacing w:line="240" w:lineRule="auto"/>
        <w:jc w:val="both"/>
        <w:rPr>
          <w:rFonts w:cstheme="minorHAnsi"/>
          <w:sz w:val="24"/>
          <w:szCs w:val="24"/>
        </w:rPr>
      </w:pPr>
      <w:r w:rsidRPr="00961FE7">
        <w:rPr>
          <w:rFonts w:eastAsia="Times New Roman" w:cstheme="minorHAnsi"/>
          <w:sz w:val="24"/>
          <w:szCs w:val="24"/>
        </w:rPr>
        <w:t>Department of Medicine, Johns Hopkins University, Baltimore, MD, United States</w:t>
      </w:r>
    </w:p>
    <w:p w14:paraId="11E91099" w14:textId="77777777" w:rsidR="003B3D2E" w:rsidRPr="00961FE7" w:rsidRDefault="0038637E" w:rsidP="00961FE7">
      <w:pPr>
        <w:numPr>
          <w:ilvl w:val="0"/>
          <w:numId w:val="1"/>
        </w:numPr>
        <w:spacing w:line="240" w:lineRule="auto"/>
        <w:jc w:val="both"/>
        <w:rPr>
          <w:rFonts w:cstheme="minorHAnsi"/>
          <w:sz w:val="24"/>
          <w:szCs w:val="24"/>
        </w:rPr>
      </w:pPr>
      <w:r w:rsidRPr="00961FE7">
        <w:rPr>
          <w:rFonts w:eastAsia="Times New Roman" w:cstheme="minorHAnsi"/>
          <w:sz w:val="24"/>
          <w:szCs w:val="24"/>
        </w:rPr>
        <w:t>National Jewish Health, Internal Medicine and Pediatrics, Pulmonary, Denver, CO, United States</w:t>
      </w:r>
    </w:p>
    <w:p w14:paraId="3A687FD4" w14:textId="2B261F01" w:rsidR="003B3D2E" w:rsidRPr="0038637E" w:rsidRDefault="0038637E" w:rsidP="0038637E">
      <w:pPr>
        <w:numPr>
          <w:ilvl w:val="0"/>
          <w:numId w:val="1"/>
        </w:numPr>
        <w:spacing w:line="240" w:lineRule="auto"/>
        <w:jc w:val="both"/>
        <w:rPr>
          <w:rFonts w:cstheme="minorHAnsi"/>
          <w:sz w:val="24"/>
          <w:szCs w:val="24"/>
        </w:rPr>
      </w:pPr>
      <w:r w:rsidRPr="00961FE7">
        <w:rPr>
          <w:rFonts w:eastAsia="Times New Roman" w:cstheme="minorHAnsi"/>
          <w:sz w:val="24"/>
          <w:szCs w:val="24"/>
        </w:rPr>
        <w:t>Boston Children’s Hospital, Boston, MA, United States</w:t>
      </w:r>
      <w:r w:rsidRPr="00961FE7">
        <w:rPr>
          <w:rFonts w:eastAsia="Times New Roman" w:cstheme="minorHAnsi"/>
          <w:bCs/>
          <w:sz w:val="24"/>
          <w:szCs w:val="24"/>
        </w:rPr>
        <w:t xml:space="preserve">  </w:t>
      </w:r>
    </w:p>
    <w:p w14:paraId="55FCBDA8" w14:textId="17681532" w:rsidR="003B3D2E" w:rsidRDefault="0038637E">
      <w:pPr>
        <w:spacing w:after="0" w:line="240" w:lineRule="auto"/>
        <w:rPr>
          <w:b/>
          <w:sz w:val="28"/>
          <w:szCs w:val="28"/>
        </w:rPr>
      </w:pPr>
      <w:r>
        <w:rPr>
          <w:b/>
          <w:sz w:val="28"/>
          <w:szCs w:val="28"/>
        </w:rPr>
        <w:t xml:space="preserve">What was your research question? </w:t>
      </w:r>
    </w:p>
    <w:p w14:paraId="5C04C779" w14:textId="578EF935" w:rsidR="003B3D2E" w:rsidRPr="00961FE7" w:rsidRDefault="0038637E" w:rsidP="00961FE7">
      <w:pPr>
        <w:spacing w:after="0" w:line="240" w:lineRule="auto"/>
        <w:jc w:val="both"/>
        <w:rPr>
          <w:sz w:val="24"/>
          <w:szCs w:val="24"/>
        </w:rPr>
      </w:pPr>
      <w:r w:rsidRPr="00961FE7">
        <w:rPr>
          <w:sz w:val="24"/>
          <w:szCs w:val="24"/>
        </w:rPr>
        <w:t>Are the sexual health experiences, concerns, and health care use of m</w:t>
      </w:r>
      <w:r w:rsidR="000B1632" w:rsidRPr="00961FE7">
        <w:rPr>
          <w:sz w:val="24"/>
          <w:szCs w:val="24"/>
        </w:rPr>
        <w:t>ales</w:t>
      </w:r>
      <w:r w:rsidRPr="00961FE7">
        <w:rPr>
          <w:sz w:val="24"/>
          <w:szCs w:val="24"/>
        </w:rPr>
        <w:t xml:space="preserve"> with cystic fibrosis (CF) different from the general population?</w:t>
      </w:r>
    </w:p>
    <w:p w14:paraId="7C5A2270" w14:textId="77777777" w:rsidR="00961FE7" w:rsidRDefault="00961FE7">
      <w:pPr>
        <w:spacing w:after="0" w:line="240" w:lineRule="auto"/>
        <w:rPr>
          <w:b/>
          <w:sz w:val="28"/>
          <w:szCs w:val="28"/>
        </w:rPr>
      </w:pPr>
    </w:p>
    <w:p w14:paraId="4E5F9186" w14:textId="35E3B9C2" w:rsidR="003B3D2E" w:rsidRDefault="0038637E">
      <w:pPr>
        <w:spacing w:after="0" w:line="240" w:lineRule="auto"/>
        <w:rPr>
          <w:b/>
          <w:sz w:val="28"/>
          <w:szCs w:val="28"/>
        </w:rPr>
      </w:pPr>
      <w:r>
        <w:rPr>
          <w:b/>
          <w:sz w:val="28"/>
          <w:szCs w:val="28"/>
        </w:rPr>
        <w:t xml:space="preserve">Why is this important? </w:t>
      </w:r>
    </w:p>
    <w:p w14:paraId="435E92D4" w14:textId="48F2AD52" w:rsidR="003B3D2E" w:rsidRPr="00961FE7" w:rsidRDefault="0038637E" w:rsidP="00961FE7">
      <w:pPr>
        <w:spacing w:after="0" w:line="240" w:lineRule="auto"/>
        <w:jc w:val="both"/>
        <w:rPr>
          <w:sz w:val="24"/>
          <w:szCs w:val="24"/>
        </w:rPr>
      </w:pPr>
      <w:r w:rsidRPr="00961FE7">
        <w:rPr>
          <w:sz w:val="24"/>
          <w:szCs w:val="24"/>
        </w:rPr>
        <w:t>New treatments are leading to longer and healthier lives for people with CF. Because of this more m</w:t>
      </w:r>
      <w:r w:rsidR="000B1632" w:rsidRPr="00961FE7">
        <w:rPr>
          <w:sz w:val="24"/>
          <w:szCs w:val="24"/>
        </w:rPr>
        <w:t>ales</w:t>
      </w:r>
      <w:r w:rsidRPr="00961FE7">
        <w:rPr>
          <w:sz w:val="24"/>
          <w:szCs w:val="24"/>
        </w:rPr>
        <w:t xml:space="preserve"> with CF are considering their sexual health. Ninety-seven percent of m</w:t>
      </w:r>
      <w:r w:rsidR="000B1632" w:rsidRPr="00961FE7">
        <w:rPr>
          <w:sz w:val="24"/>
          <w:szCs w:val="24"/>
        </w:rPr>
        <w:t>ales</w:t>
      </w:r>
      <w:r w:rsidRPr="00961FE7">
        <w:rPr>
          <w:sz w:val="24"/>
          <w:szCs w:val="24"/>
        </w:rPr>
        <w:t xml:space="preserve"> with CF live with infertility. Research from before the introduction of new CF medications show </w:t>
      </w:r>
      <w:r w:rsidRPr="00961FE7">
        <w:rPr>
          <w:sz w:val="24"/>
          <w:szCs w:val="24"/>
        </w:rPr>
        <w:lastRenderedPageBreak/>
        <w:t xml:space="preserve">that some </w:t>
      </w:r>
      <w:r w:rsidR="000B1632" w:rsidRPr="00961FE7">
        <w:rPr>
          <w:sz w:val="24"/>
          <w:szCs w:val="24"/>
        </w:rPr>
        <w:t>males</w:t>
      </w:r>
      <w:r w:rsidRPr="00961FE7">
        <w:rPr>
          <w:sz w:val="24"/>
          <w:szCs w:val="24"/>
        </w:rPr>
        <w:t xml:space="preserve"> with CF experience low testosterone, problems with sexual functioning, urinary incontinence, and possibly higher rates of testicular cancer.  There has been no research since the introduction of new CF medications such as </w:t>
      </w:r>
      <w:r w:rsidR="000B1632" w:rsidRPr="00961FE7">
        <w:rPr>
          <w:sz w:val="24"/>
          <w:szCs w:val="24"/>
        </w:rPr>
        <w:t>elexacaftor-tezacaftor-ivacaftor</w:t>
      </w:r>
      <w:r w:rsidRPr="00961FE7">
        <w:rPr>
          <w:sz w:val="24"/>
          <w:szCs w:val="24"/>
        </w:rPr>
        <w:t xml:space="preserve"> to see if any of this has changed.</w:t>
      </w:r>
    </w:p>
    <w:p w14:paraId="1E339DFE" w14:textId="77777777" w:rsidR="003B3D2E" w:rsidRDefault="003B3D2E">
      <w:pPr>
        <w:spacing w:after="0" w:line="240" w:lineRule="auto"/>
        <w:rPr>
          <w:b/>
          <w:sz w:val="28"/>
          <w:szCs w:val="28"/>
        </w:rPr>
      </w:pPr>
    </w:p>
    <w:p w14:paraId="3D40DDFC" w14:textId="581F5F87" w:rsidR="003B3D2E" w:rsidRDefault="0038637E">
      <w:pPr>
        <w:spacing w:after="0" w:line="240" w:lineRule="auto"/>
        <w:rPr>
          <w:b/>
          <w:i/>
          <w:sz w:val="28"/>
          <w:szCs w:val="28"/>
        </w:rPr>
      </w:pPr>
      <w:r>
        <w:rPr>
          <w:b/>
          <w:sz w:val="28"/>
          <w:szCs w:val="28"/>
        </w:rPr>
        <w:t xml:space="preserve">What did you do? </w:t>
      </w:r>
    </w:p>
    <w:p w14:paraId="7C90D5AC" w14:textId="5F6FD3D4" w:rsidR="003B3D2E" w:rsidRPr="00961FE7" w:rsidRDefault="0038637E" w:rsidP="00961FE7">
      <w:pPr>
        <w:spacing w:after="0" w:line="240" w:lineRule="auto"/>
        <w:jc w:val="both"/>
        <w:rPr>
          <w:sz w:val="24"/>
          <w:szCs w:val="24"/>
        </w:rPr>
      </w:pPr>
      <w:r w:rsidRPr="00961FE7">
        <w:rPr>
          <w:sz w:val="24"/>
          <w:szCs w:val="24"/>
        </w:rPr>
        <w:t xml:space="preserve">We recruited males with CF 15 years or older from seven CF </w:t>
      </w:r>
      <w:proofErr w:type="spellStart"/>
      <w:r w:rsidRPr="00961FE7">
        <w:rPr>
          <w:sz w:val="24"/>
          <w:szCs w:val="24"/>
        </w:rPr>
        <w:t>centers</w:t>
      </w:r>
      <w:proofErr w:type="spellEnd"/>
      <w:r w:rsidRPr="00961FE7">
        <w:rPr>
          <w:sz w:val="24"/>
          <w:szCs w:val="24"/>
        </w:rPr>
        <w:t xml:space="preserve"> in the United States to participate in a study to learn more about the</w:t>
      </w:r>
      <w:r w:rsidR="000B1632" w:rsidRPr="00961FE7">
        <w:rPr>
          <w:sz w:val="24"/>
          <w:szCs w:val="24"/>
        </w:rPr>
        <w:t>ir</w:t>
      </w:r>
      <w:r w:rsidRPr="00961FE7">
        <w:rPr>
          <w:sz w:val="24"/>
          <w:szCs w:val="24"/>
        </w:rPr>
        <w:t xml:space="preserve"> sexual health </w:t>
      </w:r>
      <w:proofErr w:type="spellStart"/>
      <w:r w:rsidRPr="00961FE7">
        <w:rPr>
          <w:sz w:val="24"/>
          <w:szCs w:val="24"/>
        </w:rPr>
        <w:t>behaviors</w:t>
      </w:r>
      <w:proofErr w:type="spellEnd"/>
      <w:r w:rsidRPr="00961FE7">
        <w:rPr>
          <w:sz w:val="24"/>
          <w:szCs w:val="24"/>
        </w:rPr>
        <w:t xml:space="preserve"> and health care use. Participants completed </w:t>
      </w:r>
      <w:r w:rsidR="000B1632" w:rsidRPr="00961FE7">
        <w:rPr>
          <w:sz w:val="24"/>
          <w:szCs w:val="24"/>
        </w:rPr>
        <w:t>an</w:t>
      </w:r>
      <w:r w:rsidRPr="00961FE7">
        <w:rPr>
          <w:sz w:val="24"/>
          <w:szCs w:val="24"/>
        </w:rPr>
        <w:t xml:space="preserve"> online survey. We compared the results of our survey to results from the 2017-2019 National Survey of Family Growth, a national survey that asks people living in the U</w:t>
      </w:r>
      <w:r w:rsidR="000B1632" w:rsidRPr="00961FE7">
        <w:rPr>
          <w:sz w:val="24"/>
          <w:szCs w:val="24"/>
        </w:rPr>
        <w:t>nited States</w:t>
      </w:r>
      <w:r w:rsidRPr="00961FE7">
        <w:rPr>
          <w:sz w:val="24"/>
          <w:szCs w:val="24"/>
        </w:rPr>
        <w:t xml:space="preserve"> about their sexual and reproductive health.</w:t>
      </w:r>
    </w:p>
    <w:p w14:paraId="5B62327A" w14:textId="77777777" w:rsidR="003B3D2E" w:rsidRDefault="003B3D2E">
      <w:pPr>
        <w:spacing w:after="0" w:line="240" w:lineRule="auto"/>
        <w:rPr>
          <w:b/>
          <w:sz w:val="28"/>
          <w:szCs w:val="28"/>
        </w:rPr>
      </w:pPr>
    </w:p>
    <w:p w14:paraId="61374A0F" w14:textId="46A0A54B" w:rsidR="003B3D2E" w:rsidRDefault="0038637E">
      <w:pPr>
        <w:spacing w:after="0" w:line="240" w:lineRule="auto"/>
        <w:rPr>
          <w:b/>
          <w:i/>
          <w:sz w:val="28"/>
          <w:szCs w:val="28"/>
        </w:rPr>
      </w:pPr>
      <w:r>
        <w:rPr>
          <w:b/>
          <w:sz w:val="28"/>
          <w:szCs w:val="28"/>
        </w:rPr>
        <w:t xml:space="preserve">What did you find? </w:t>
      </w:r>
    </w:p>
    <w:p w14:paraId="21211631" w14:textId="4DCB38FF" w:rsidR="003B3D2E" w:rsidRPr="00961FE7" w:rsidRDefault="0038637E" w:rsidP="00961FE7">
      <w:pPr>
        <w:spacing w:after="0" w:line="240" w:lineRule="auto"/>
        <w:jc w:val="both"/>
        <w:rPr>
          <w:sz w:val="24"/>
          <w:szCs w:val="24"/>
        </w:rPr>
      </w:pPr>
      <w:r w:rsidRPr="00961FE7">
        <w:rPr>
          <w:sz w:val="24"/>
          <w:szCs w:val="24"/>
        </w:rPr>
        <w:t>We collected surveys from 532 individuals. When we looked at m</w:t>
      </w:r>
      <w:r w:rsidR="000B1632" w:rsidRPr="00961FE7">
        <w:rPr>
          <w:sz w:val="24"/>
          <w:szCs w:val="24"/>
        </w:rPr>
        <w:t>ales</w:t>
      </w:r>
      <w:r w:rsidRPr="00961FE7">
        <w:rPr>
          <w:sz w:val="24"/>
          <w:szCs w:val="24"/>
        </w:rPr>
        <w:t xml:space="preserve"> with CF who had more than one sex partner in the past year, 36% reported never using a condom compared to 16% of m</w:t>
      </w:r>
      <w:r w:rsidR="000B1632" w:rsidRPr="00961FE7">
        <w:rPr>
          <w:sz w:val="24"/>
          <w:szCs w:val="24"/>
        </w:rPr>
        <w:t>ales</w:t>
      </w:r>
      <w:r w:rsidRPr="00961FE7">
        <w:rPr>
          <w:sz w:val="24"/>
          <w:szCs w:val="24"/>
        </w:rPr>
        <w:t xml:space="preserve"> in the general population. Less than 1/3 of m</w:t>
      </w:r>
      <w:r w:rsidR="000B1632" w:rsidRPr="00961FE7">
        <w:rPr>
          <w:sz w:val="24"/>
          <w:szCs w:val="24"/>
        </w:rPr>
        <w:t>ales</w:t>
      </w:r>
      <w:r w:rsidRPr="00961FE7">
        <w:rPr>
          <w:sz w:val="24"/>
          <w:szCs w:val="24"/>
        </w:rPr>
        <w:t xml:space="preserve"> with CF reported ever getting tested for sexually transmitted infections (STIs),  only 8% had talked with a health care provider about HIV/AIDS, and only 14% had talked with a health care provider about other STIs. Nearly half of respondents reported they had no primary care provider (PCP).</w:t>
      </w:r>
    </w:p>
    <w:p w14:paraId="0D5D0921" w14:textId="77777777" w:rsidR="003B3D2E" w:rsidRDefault="003B3D2E">
      <w:pPr>
        <w:spacing w:after="0" w:line="240" w:lineRule="auto"/>
        <w:rPr>
          <w:b/>
          <w:sz w:val="28"/>
          <w:szCs w:val="28"/>
        </w:rPr>
      </w:pPr>
    </w:p>
    <w:p w14:paraId="4533FAB9" w14:textId="1BF213A0" w:rsidR="003B3D2E" w:rsidRDefault="0038637E">
      <w:pPr>
        <w:spacing w:after="0" w:line="240" w:lineRule="auto"/>
        <w:rPr>
          <w:b/>
          <w:i/>
          <w:sz w:val="28"/>
          <w:szCs w:val="28"/>
        </w:rPr>
      </w:pPr>
      <w:r>
        <w:rPr>
          <w:b/>
          <w:sz w:val="28"/>
          <w:szCs w:val="28"/>
        </w:rPr>
        <w:t xml:space="preserve">What does this mean and reasons for caution? </w:t>
      </w:r>
    </w:p>
    <w:p w14:paraId="76266CD6" w14:textId="731D1B77" w:rsidR="003B3D2E" w:rsidRPr="00961FE7" w:rsidRDefault="0038637E" w:rsidP="00961FE7">
      <w:pPr>
        <w:spacing w:after="0" w:line="240" w:lineRule="auto"/>
        <w:jc w:val="both"/>
        <w:rPr>
          <w:sz w:val="24"/>
          <w:szCs w:val="24"/>
        </w:rPr>
      </w:pPr>
      <w:r w:rsidRPr="00961FE7">
        <w:rPr>
          <w:sz w:val="24"/>
          <w:szCs w:val="24"/>
        </w:rPr>
        <w:t>On average, m</w:t>
      </w:r>
      <w:r w:rsidR="000B1632" w:rsidRPr="00961FE7">
        <w:rPr>
          <w:sz w:val="24"/>
          <w:szCs w:val="24"/>
        </w:rPr>
        <w:t>ales</w:t>
      </w:r>
      <w:r w:rsidRPr="00961FE7">
        <w:rPr>
          <w:sz w:val="24"/>
          <w:szCs w:val="24"/>
        </w:rPr>
        <w:t xml:space="preserve"> with CF use condoms less than m</w:t>
      </w:r>
      <w:r w:rsidR="000B1632" w:rsidRPr="00961FE7">
        <w:rPr>
          <w:sz w:val="24"/>
          <w:szCs w:val="24"/>
        </w:rPr>
        <w:t>ales</w:t>
      </w:r>
      <w:r w:rsidRPr="00961FE7">
        <w:rPr>
          <w:sz w:val="24"/>
          <w:szCs w:val="24"/>
        </w:rPr>
        <w:t xml:space="preserve"> in the general population, and many of them have never been tested for an STI or spoken with a health care provider about STIs. This may be because many m</w:t>
      </w:r>
      <w:r w:rsidR="000B1632" w:rsidRPr="00961FE7">
        <w:rPr>
          <w:sz w:val="24"/>
          <w:szCs w:val="24"/>
        </w:rPr>
        <w:t>ales</w:t>
      </w:r>
      <w:r w:rsidRPr="00961FE7">
        <w:rPr>
          <w:sz w:val="24"/>
          <w:szCs w:val="24"/>
        </w:rPr>
        <w:t xml:space="preserve"> with CF do not have a PCP, and their CF care teams may not discuss sexual health This study relied on participants being able to remember past experiences and accurately answer the questions. M</w:t>
      </w:r>
      <w:r w:rsidR="000B1632" w:rsidRPr="00961FE7">
        <w:rPr>
          <w:sz w:val="24"/>
          <w:szCs w:val="24"/>
        </w:rPr>
        <w:t>ales with CF</w:t>
      </w:r>
      <w:r w:rsidRPr="00961FE7">
        <w:rPr>
          <w:sz w:val="24"/>
          <w:szCs w:val="24"/>
        </w:rPr>
        <w:t xml:space="preserve"> who did not want to complete a survey about sexual health may have different experiences than th</w:t>
      </w:r>
      <w:r w:rsidR="000B1632" w:rsidRPr="00961FE7">
        <w:rPr>
          <w:sz w:val="24"/>
          <w:szCs w:val="24"/>
        </w:rPr>
        <w:t>ose</w:t>
      </w:r>
      <w:r w:rsidRPr="00961FE7">
        <w:rPr>
          <w:sz w:val="24"/>
          <w:szCs w:val="24"/>
        </w:rPr>
        <w:t xml:space="preserve"> who did complete the survey.</w:t>
      </w:r>
    </w:p>
    <w:p w14:paraId="3B2A4195" w14:textId="77777777" w:rsidR="003B3D2E" w:rsidRDefault="003B3D2E">
      <w:pPr>
        <w:spacing w:after="0" w:line="240" w:lineRule="auto"/>
        <w:rPr>
          <w:b/>
          <w:sz w:val="28"/>
          <w:szCs w:val="28"/>
        </w:rPr>
      </w:pPr>
    </w:p>
    <w:p w14:paraId="5F22C3EC" w14:textId="30E7B1C0" w:rsidR="003B3D2E" w:rsidRDefault="0038637E">
      <w:pPr>
        <w:spacing w:after="0" w:line="240" w:lineRule="auto"/>
        <w:rPr>
          <w:b/>
          <w:sz w:val="28"/>
          <w:szCs w:val="28"/>
        </w:rPr>
      </w:pPr>
      <w:r>
        <w:rPr>
          <w:b/>
          <w:sz w:val="28"/>
          <w:szCs w:val="28"/>
        </w:rPr>
        <w:t xml:space="preserve">What’s next? </w:t>
      </w:r>
    </w:p>
    <w:p w14:paraId="53C329EC" w14:textId="30E2CCF6" w:rsidR="003B3D2E" w:rsidRDefault="0038637E">
      <w:pPr>
        <w:jc w:val="both"/>
        <w:rPr>
          <w:sz w:val="24"/>
          <w:szCs w:val="24"/>
        </w:rPr>
      </w:pPr>
      <w:r w:rsidRPr="00961FE7">
        <w:rPr>
          <w:sz w:val="24"/>
          <w:szCs w:val="24"/>
        </w:rPr>
        <w:t>Because nearly half of m</w:t>
      </w:r>
      <w:r w:rsidR="000B1632" w:rsidRPr="00961FE7">
        <w:rPr>
          <w:sz w:val="24"/>
          <w:szCs w:val="24"/>
        </w:rPr>
        <w:t>ales</w:t>
      </w:r>
      <w:r w:rsidRPr="00961FE7">
        <w:rPr>
          <w:sz w:val="24"/>
          <w:szCs w:val="24"/>
        </w:rPr>
        <w:t xml:space="preserve"> with CF do not have a PCP, CF care teams should be prepared to discuss sexual health concerns such as STI testing and condom use with their patients. Future work should improve how CF care teams discuss sexual health, including any CF-specific concerns.</w:t>
      </w:r>
    </w:p>
    <w:p w14:paraId="5AD2EA26" w14:textId="77777777" w:rsidR="00B74AB8" w:rsidRPr="0002300F" w:rsidRDefault="00B74AB8" w:rsidP="00B74AB8">
      <w:pPr>
        <w:spacing w:after="0" w:line="240" w:lineRule="auto"/>
        <w:jc w:val="both"/>
        <w:rPr>
          <w:rFonts w:ascii="Calibri" w:eastAsia="Calibri" w:hAnsi="Calibri"/>
          <w:b/>
          <w:sz w:val="28"/>
          <w:szCs w:val="28"/>
        </w:rPr>
      </w:pPr>
      <w:r w:rsidRPr="0002300F">
        <w:rPr>
          <w:rFonts w:ascii="Calibri" w:eastAsia="Calibri" w:hAnsi="Calibri"/>
          <w:b/>
          <w:sz w:val="28"/>
          <w:szCs w:val="28"/>
        </w:rPr>
        <w:t>Original manuscript citation in PubMed</w:t>
      </w:r>
    </w:p>
    <w:p w14:paraId="012C1FE0" w14:textId="53F180A6" w:rsidR="003B3D2E" w:rsidRPr="006E578B" w:rsidRDefault="00B74AB8">
      <w:pPr>
        <w:jc w:val="both"/>
        <w:rPr>
          <w:sz w:val="24"/>
          <w:szCs w:val="24"/>
        </w:rPr>
      </w:pPr>
      <w:r>
        <w:rPr>
          <w:sz w:val="24"/>
          <w:szCs w:val="24"/>
        </w:rPr>
        <w:t>N/A</w:t>
      </w:r>
    </w:p>
    <w:sectPr w:rsidR="003B3D2E" w:rsidRPr="006E578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89757" w14:textId="77777777" w:rsidR="00D87083" w:rsidRDefault="00D87083">
      <w:pPr>
        <w:spacing w:after="0" w:line="240" w:lineRule="auto"/>
      </w:pPr>
      <w:r>
        <w:separator/>
      </w:r>
    </w:p>
  </w:endnote>
  <w:endnote w:type="continuationSeparator" w:id="0">
    <w:p w14:paraId="0F5EC5A9" w14:textId="77777777" w:rsidR="00D87083" w:rsidRDefault="00D87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2043" w14:textId="77777777" w:rsidR="003B3D2E" w:rsidRDefault="003B3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A80D5" w14:textId="77777777" w:rsidR="003B3D2E" w:rsidRDefault="0038637E">
    <w:pPr>
      <w:pStyle w:val="Footer"/>
    </w:pPr>
    <w:r>
      <w:rPr>
        <w:rFonts w:ascii="Palatino Linotype" w:hAnsi="Palatino Linotype"/>
        <w:b/>
        <w:sz w:val="40"/>
        <w:szCs w:val="40"/>
      </w:rPr>
      <w:tab/>
    </w:r>
    <w:r>
      <w:rPr>
        <w:rFonts w:ascii="Palatino Linotype" w:hAnsi="Palatino Linotype"/>
        <w:b/>
        <w:sz w:val="40"/>
        <w:szCs w:val="40"/>
      </w:rPr>
      <w:tab/>
      <w:t>Cystic Fibrosis Research News</w:t>
    </w:r>
    <w:r>
      <w:t xml:space="preserve">  </w:t>
    </w:r>
  </w:p>
  <w:p w14:paraId="7FED2705" w14:textId="77777777" w:rsidR="003B3D2E" w:rsidRDefault="0038637E">
    <w:pPr>
      <w:pStyle w:val="Footer"/>
    </w:pPr>
    <w:r>
      <w:tab/>
    </w:r>
    <w:hyperlink r:id="rId1">
      <w:r w:rsidR="003B3D2E">
        <w:rPr>
          <w:rStyle w:val="Hyperlink"/>
        </w:rPr>
        <w:t>cfresearchnews@gmail.com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8C47" w14:textId="77777777" w:rsidR="003B3D2E" w:rsidRDefault="0038637E">
    <w:pPr>
      <w:pStyle w:val="Footer"/>
    </w:pPr>
    <w:r>
      <w:rPr>
        <w:rFonts w:ascii="Palatino Linotype" w:hAnsi="Palatino Linotype"/>
        <w:b/>
        <w:sz w:val="40"/>
        <w:szCs w:val="40"/>
      </w:rPr>
      <w:tab/>
    </w:r>
    <w:r>
      <w:rPr>
        <w:rFonts w:ascii="Palatino Linotype" w:hAnsi="Palatino Linotype"/>
        <w:b/>
        <w:sz w:val="40"/>
        <w:szCs w:val="40"/>
      </w:rPr>
      <w:tab/>
      <w:t>Cystic Fibrosis Research News</w:t>
    </w:r>
    <w:r>
      <w:t xml:space="preserve">  </w:t>
    </w:r>
  </w:p>
  <w:p w14:paraId="39872A5A" w14:textId="77777777" w:rsidR="003B3D2E" w:rsidRDefault="0038637E">
    <w:pPr>
      <w:pStyle w:val="Footer"/>
    </w:pPr>
    <w:r>
      <w:tab/>
    </w:r>
    <w:hyperlink r:id="rId1">
      <w:r w:rsidR="003B3D2E">
        <w:rPr>
          <w:rStyle w:val="Hyperlink"/>
        </w:rPr>
        <w:t>cfresearchnews@gmail.com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7431A" w14:textId="77777777" w:rsidR="00D87083" w:rsidRDefault="00D87083">
      <w:pPr>
        <w:spacing w:after="0" w:line="240" w:lineRule="auto"/>
      </w:pPr>
      <w:r>
        <w:separator/>
      </w:r>
    </w:p>
  </w:footnote>
  <w:footnote w:type="continuationSeparator" w:id="0">
    <w:p w14:paraId="49C84F14" w14:textId="77777777" w:rsidR="00D87083" w:rsidRDefault="00D87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682B" w14:textId="77777777" w:rsidR="003B3D2E" w:rsidRDefault="003B3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4CD5" w14:textId="77777777" w:rsidR="003B3D2E" w:rsidRDefault="0038637E">
    <w:pPr>
      <w:pStyle w:val="Header"/>
    </w:pPr>
    <w:r>
      <w:t xml:space="preserve"> </w:t>
    </w:r>
    <w:r>
      <w:rPr>
        <w:noProof/>
      </w:rPr>
      <w:drawing>
        <wp:inline distT="0" distB="0" distL="0" distR="0" wp14:anchorId="0B44DBD2" wp14:editId="6BB1D01E">
          <wp:extent cx="2237105" cy="99949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stretch>
                    <a:fillRect/>
                  </a:stretch>
                </pic:blipFill>
                <pic:spPr bwMode="auto">
                  <a:xfrm>
                    <a:off x="0" y="0"/>
                    <a:ext cx="2237105" cy="999490"/>
                  </a:xfrm>
                  <a:prstGeom prst="rect">
                    <a:avLst/>
                  </a:prstGeom>
                  <a:noFill/>
                </pic:spPr>
              </pic:pic>
            </a:graphicData>
          </a:graphic>
        </wp:inline>
      </w:drawing>
    </w:r>
    <w:r>
      <w:t xml:space="preserve">                 </w:t>
    </w:r>
    <w:r>
      <w:rPr>
        <w:noProof/>
      </w:rPr>
      <w:drawing>
        <wp:inline distT="0" distB="0" distL="0" distR="0" wp14:anchorId="1F89FE05" wp14:editId="0BE2C7AF">
          <wp:extent cx="2695575" cy="97853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2"/>
                  <a:stretch>
                    <a:fillRect/>
                  </a:stretch>
                </pic:blipFill>
                <pic:spPr bwMode="auto">
                  <a:xfrm>
                    <a:off x="0" y="0"/>
                    <a:ext cx="2695575" cy="978535"/>
                  </a:xfrm>
                  <a:prstGeom prst="rect">
                    <a:avLst/>
                  </a:prstGeom>
                  <a:noFill/>
                </pic:spPr>
              </pic:pic>
            </a:graphicData>
          </a:graphic>
        </wp:inline>
      </w:drawing>
    </w:r>
  </w:p>
  <w:p w14:paraId="0D1431A4" w14:textId="77777777" w:rsidR="003B3D2E" w:rsidRDefault="003B3D2E">
    <w:pPr>
      <w:pStyle w:val="Header"/>
    </w:pPr>
  </w:p>
  <w:p w14:paraId="5AC12523" w14:textId="77777777" w:rsidR="003B3D2E" w:rsidRDefault="003B3D2E">
    <w:pPr>
      <w:pStyle w:val="Header"/>
    </w:pPr>
  </w:p>
  <w:p w14:paraId="3EBA9146" w14:textId="77777777" w:rsidR="003B3D2E" w:rsidRDefault="0038637E">
    <w:pPr>
      <w:pStyle w:val="Header"/>
      <w:jc w:val="center"/>
      <w:rPr>
        <w:rFonts w:ascii="Palatino Linotype" w:hAnsi="Palatino Linotype"/>
        <w:b/>
        <w:sz w:val="56"/>
        <w:szCs w:val="56"/>
      </w:rPr>
    </w:pPr>
    <w:r>
      <w:rPr>
        <w:rFonts w:ascii="Palatino Linotype" w:hAnsi="Palatino Linotype"/>
        <w:b/>
        <w:sz w:val="56"/>
        <w:szCs w:val="56"/>
      </w:rPr>
      <w:t>Cystic Fibrosis Research News</w:t>
    </w:r>
  </w:p>
  <w:p w14:paraId="1663F0F1" w14:textId="77777777" w:rsidR="003B3D2E" w:rsidRDefault="003B3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8BFC" w14:textId="77777777" w:rsidR="003B3D2E" w:rsidRDefault="0038637E">
    <w:pPr>
      <w:pStyle w:val="Header"/>
    </w:pPr>
    <w:r>
      <w:t xml:space="preserve"> </w:t>
    </w:r>
    <w:r>
      <w:rPr>
        <w:noProof/>
      </w:rPr>
      <w:drawing>
        <wp:inline distT="0" distB="0" distL="0" distR="0" wp14:anchorId="16132B17" wp14:editId="7868D2C4">
          <wp:extent cx="2237105" cy="99949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2237105" cy="999490"/>
                  </a:xfrm>
                  <a:prstGeom prst="rect">
                    <a:avLst/>
                  </a:prstGeom>
                  <a:noFill/>
                </pic:spPr>
              </pic:pic>
            </a:graphicData>
          </a:graphic>
        </wp:inline>
      </w:drawing>
    </w:r>
    <w:r>
      <w:t xml:space="preserve">                 </w:t>
    </w:r>
    <w:r>
      <w:rPr>
        <w:noProof/>
      </w:rPr>
      <w:drawing>
        <wp:inline distT="0" distB="0" distL="0" distR="0" wp14:anchorId="686A98FE" wp14:editId="5C7C48C6">
          <wp:extent cx="2695575" cy="97853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2"/>
                  <a:stretch>
                    <a:fillRect/>
                  </a:stretch>
                </pic:blipFill>
                <pic:spPr bwMode="auto">
                  <a:xfrm>
                    <a:off x="0" y="0"/>
                    <a:ext cx="2695575" cy="978535"/>
                  </a:xfrm>
                  <a:prstGeom prst="rect">
                    <a:avLst/>
                  </a:prstGeom>
                  <a:noFill/>
                </pic:spPr>
              </pic:pic>
            </a:graphicData>
          </a:graphic>
        </wp:inline>
      </w:drawing>
    </w:r>
  </w:p>
  <w:p w14:paraId="2FEBF3DA" w14:textId="77777777" w:rsidR="003B3D2E" w:rsidRDefault="003B3D2E">
    <w:pPr>
      <w:pStyle w:val="Header"/>
    </w:pPr>
  </w:p>
  <w:p w14:paraId="09F6B99B" w14:textId="77777777" w:rsidR="003B3D2E" w:rsidRDefault="003B3D2E">
    <w:pPr>
      <w:pStyle w:val="Header"/>
    </w:pPr>
  </w:p>
  <w:p w14:paraId="593B26C1" w14:textId="77777777" w:rsidR="003B3D2E" w:rsidRDefault="0038637E">
    <w:pPr>
      <w:pStyle w:val="Header"/>
      <w:jc w:val="center"/>
      <w:rPr>
        <w:rFonts w:ascii="Palatino Linotype" w:hAnsi="Palatino Linotype"/>
        <w:b/>
        <w:sz w:val="56"/>
        <w:szCs w:val="56"/>
      </w:rPr>
    </w:pPr>
    <w:r>
      <w:rPr>
        <w:rFonts w:ascii="Palatino Linotype" w:hAnsi="Palatino Linotype"/>
        <w:b/>
        <w:sz w:val="56"/>
        <w:szCs w:val="56"/>
      </w:rPr>
      <w:t>Cystic Fibrosis Research News</w:t>
    </w:r>
  </w:p>
  <w:p w14:paraId="4D4AA3D6" w14:textId="77777777" w:rsidR="003B3D2E" w:rsidRDefault="003B3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D7E59"/>
    <w:multiLevelType w:val="multilevel"/>
    <w:tmpl w:val="F46C6A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22F0F34"/>
    <w:multiLevelType w:val="multilevel"/>
    <w:tmpl w:val="524C7EDA"/>
    <w:lvl w:ilvl="0">
      <w:start w:val="1"/>
      <w:numFmt w:val="lowerLetter"/>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61172955">
    <w:abstractNumId w:val="1"/>
  </w:num>
  <w:num w:numId="2" w16cid:durableId="1835608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2E"/>
    <w:rsid w:val="000B1632"/>
    <w:rsid w:val="001C2BA1"/>
    <w:rsid w:val="0038637E"/>
    <w:rsid w:val="003B3D2E"/>
    <w:rsid w:val="006E578B"/>
    <w:rsid w:val="00961FE7"/>
    <w:rsid w:val="00B74AB8"/>
    <w:rsid w:val="00CA4F27"/>
    <w:rsid w:val="00D87083"/>
    <w:rsid w:val="00FA72DF"/>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2E39"/>
  <w15:docId w15:val="{23E90B3B-C0AE-7440-899A-3A301115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B1278"/>
  </w:style>
  <w:style w:type="character" w:customStyle="1" w:styleId="FooterChar">
    <w:name w:val="Footer Char"/>
    <w:basedOn w:val="DefaultParagraphFont"/>
    <w:link w:val="Footer"/>
    <w:uiPriority w:val="99"/>
    <w:qFormat/>
    <w:rsid w:val="008B1278"/>
  </w:style>
  <w:style w:type="character" w:customStyle="1" w:styleId="BalloonTextChar">
    <w:name w:val="Balloon Text Char"/>
    <w:basedOn w:val="DefaultParagraphFont"/>
    <w:link w:val="BalloonText"/>
    <w:uiPriority w:val="99"/>
    <w:semiHidden/>
    <w:qFormat/>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8B1278"/>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Een nieuw document maken." ma:contentTypeScope="" ma:versionID="7d9dfffb641c2fe26470ac847086b863">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5344b494890025dc78d3f9a6920cb422"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6696B4-7CC2-4648-BF1F-D48A5C390BC6}"/>
</file>

<file path=customXml/itemProps2.xml><?xml version="1.0" encoding="utf-8"?>
<ds:datastoreItem xmlns:ds="http://schemas.openxmlformats.org/officeDocument/2006/customXml" ds:itemID="{7539C14A-04B8-4C27-9D5D-F72F00B0A783}">
  <ds:schemaRefs>
    <ds:schemaRef ds:uri="http://schemas.microsoft.com/sharepoint/v3/contenttype/forms"/>
  </ds:schemaRefs>
</ds:datastoreItem>
</file>

<file path=customXml/itemProps3.xml><?xml version="1.0" encoding="utf-8"?>
<ds:datastoreItem xmlns:ds="http://schemas.openxmlformats.org/officeDocument/2006/customXml" ds:itemID="{BB4B201D-1D2A-4F40-B718-E988BA4CB70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610</Words>
  <Characters>3355</Characters>
  <Application>Microsoft Office Word</Application>
  <DocSecurity>0</DocSecurity>
  <Lines>27</Lines>
  <Paragraphs>7</Paragraphs>
  <ScaleCrop>false</ScaleCrop>
  <Company>QIMR</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CFRN</dc:creator>
  <dc:description/>
  <cp:lastModifiedBy>Oxana Igonchenkova</cp:lastModifiedBy>
  <cp:revision>9</cp:revision>
  <dcterms:created xsi:type="dcterms:W3CDTF">2019-06-15T06:06:00Z</dcterms:created>
  <dcterms:modified xsi:type="dcterms:W3CDTF">2025-11-24T22:06:00Z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2025-10-07T14:55:44Z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b3e0dc0e-c77c-431f-ae02-6c57699246eb</vt:lpwstr>
  </property>
  <property fmtid="{D5CDD505-2E9C-101B-9397-08002B2CF9AE}" pid="8" name="MSIP_Label_5e4b1be8-281e-475d-98b0-21c3457e5a46_ContentBits">
    <vt:lpwstr>0</vt:lpwstr>
  </property>
  <property fmtid="{D5CDD505-2E9C-101B-9397-08002B2CF9AE}" pid="9" name="MSIP_Label_5e4b1be8-281e-475d-98b0-21c3457e5a46_Tag">
    <vt:lpwstr>50, 3, 0, 1</vt:lpwstr>
  </property>
  <property fmtid="{D5CDD505-2E9C-101B-9397-08002B2CF9AE}" pid="10" name="ContentTypeId">
    <vt:lpwstr>0x0101006C64462A6F2766428A83CED44477B780</vt:lpwstr>
  </property>
  <property fmtid="{D5CDD505-2E9C-101B-9397-08002B2CF9AE}" pid="11" name="MediaServiceImageTags">
    <vt:lpwstr/>
  </property>
</Properties>
</file>