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5B5E0AB0" w:rsidR="006A7976" w:rsidRPr="006C465B" w:rsidRDefault="0098362B" w:rsidP="006C465B">
      <w:pPr>
        <w:spacing w:after="0" w:line="240" w:lineRule="auto"/>
        <w:jc w:val="both"/>
        <w:rPr>
          <w:b/>
          <w:sz w:val="28"/>
          <w:szCs w:val="28"/>
        </w:rPr>
      </w:pPr>
      <w:r w:rsidRPr="0098362B">
        <w:rPr>
          <w:b/>
          <w:sz w:val="28"/>
          <w:szCs w:val="28"/>
        </w:rPr>
        <w:t>Title:</w:t>
      </w:r>
      <w:r w:rsidR="006C465B">
        <w:rPr>
          <w:b/>
          <w:sz w:val="28"/>
          <w:szCs w:val="28"/>
        </w:rPr>
        <w:t xml:space="preserve"> </w:t>
      </w:r>
      <w:r w:rsidR="000C1409" w:rsidRPr="000C1409">
        <w:rPr>
          <w:bCs/>
          <w:sz w:val="24"/>
          <w:szCs w:val="24"/>
        </w:rPr>
        <w:t xml:space="preserve">Economic impact of </w:t>
      </w:r>
      <w:proofErr w:type="spellStart"/>
      <w:r w:rsidR="000C1409" w:rsidRPr="000C1409">
        <w:rPr>
          <w:bCs/>
          <w:sz w:val="24"/>
          <w:szCs w:val="24"/>
        </w:rPr>
        <w:t>elexacaftor</w:t>
      </w:r>
      <w:proofErr w:type="spellEnd"/>
      <w:r w:rsidR="000C1409" w:rsidRPr="000C1409">
        <w:rPr>
          <w:bCs/>
          <w:sz w:val="24"/>
          <w:szCs w:val="24"/>
        </w:rPr>
        <w:t>/</w:t>
      </w:r>
      <w:proofErr w:type="spellStart"/>
      <w:r w:rsidR="000C1409" w:rsidRPr="000C1409">
        <w:rPr>
          <w:bCs/>
          <w:sz w:val="24"/>
          <w:szCs w:val="24"/>
        </w:rPr>
        <w:t>tezacaftor</w:t>
      </w:r>
      <w:proofErr w:type="spellEnd"/>
      <w:r w:rsidR="000C1409" w:rsidRPr="000C1409">
        <w:rPr>
          <w:bCs/>
          <w:sz w:val="24"/>
          <w:szCs w:val="24"/>
        </w:rPr>
        <w:t>/ivacaftor on healthcare expenditure in Canada</w:t>
      </w:r>
    </w:p>
    <w:p w14:paraId="478E2D37" w14:textId="77777777" w:rsidR="000C1409" w:rsidRDefault="000C1409" w:rsidP="006C465B">
      <w:pPr>
        <w:spacing w:after="0" w:line="240" w:lineRule="auto"/>
        <w:jc w:val="both"/>
        <w:rPr>
          <w:b/>
          <w:sz w:val="28"/>
          <w:szCs w:val="28"/>
        </w:rPr>
      </w:pPr>
    </w:p>
    <w:p w14:paraId="2C518F27" w14:textId="0B38EBEE" w:rsidR="0098362B" w:rsidRDefault="006A7976" w:rsidP="006C465B">
      <w:pPr>
        <w:spacing w:after="0" w:line="240" w:lineRule="auto"/>
        <w:jc w:val="both"/>
        <w:rPr>
          <w:b/>
          <w:sz w:val="28"/>
          <w:szCs w:val="28"/>
        </w:rPr>
      </w:pPr>
      <w:r>
        <w:rPr>
          <w:b/>
          <w:sz w:val="28"/>
          <w:szCs w:val="28"/>
        </w:rPr>
        <w:t>Lay Title:</w:t>
      </w:r>
      <w:r w:rsidR="006C465B">
        <w:rPr>
          <w:b/>
          <w:sz w:val="28"/>
          <w:szCs w:val="28"/>
        </w:rPr>
        <w:t xml:space="preserve"> </w:t>
      </w:r>
      <w:proofErr w:type="spellStart"/>
      <w:r w:rsidR="000C1409">
        <w:rPr>
          <w:bCs/>
          <w:sz w:val="24"/>
          <w:szCs w:val="24"/>
        </w:rPr>
        <w:t>E</w:t>
      </w:r>
      <w:r w:rsidR="000C1409" w:rsidRPr="000C1409">
        <w:rPr>
          <w:bCs/>
          <w:sz w:val="24"/>
          <w:szCs w:val="24"/>
        </w:rPr>
        <w:t>lexacaftor</w:t>
      </w:r>
      <w:proofErr w:type="spellEnd"/>
      <w:r w:rsidR="000C1409" w:rsidRPr="000C1409">
        <w:rPr>
          <w:bCs/>
          <w:sz w:val="24"/>
          <w:szCs w:val="24"/>
        </w:rPr>
        <w:t>/</w:t>
      </w:r>
      <w:proofErr w:type="spellStart"/>
      <w:r w:rsidR="000C1409" w:rsidRPr="000C1409">
        <w:rPr>
          <w:bCs/>
          <w:sz w:val="24"/>
          <w:szCs w:val="24"/>
        </w:rPr>
        <w:t>tezacaftor</w:t>
      </w:r>
      <w:proofErr w:type="spellEnd"/>
      <w:r w:rsidR="000C1409" w:rsidRPr="000C1409">
        <w:rPr>
          <w:bCs/>
          <w:sz w:val="24"/>
          <w:szCs w:val="24"/>
        </w:rPr>
        <w:t>/ivacaftor</w:t>
      </w:r>
      <w:r w:rsidR="000C1409">
        <w:rPr>
          <w:bCs/>
          <w:sz w:val="24"/>
          <w:szCs w:val="24"/>
        </w:rPr>
        <w:t xml:space="preserve">’s impact on Canadian </w:t>
      </w:r>
      <w:r w:rsidR="00DB6E5D">
        <w:rPr>
          <w:bCs/>
          <w:sz w:val="24"/>
          <w:szCs w:val="24"/>
        </w:rPr>
        <w:t>h</w:t>
      </w:r>
      <w:r w:rsidR="000C1409">
        <w:rPr>
          <w:bCs/>
          <w:sz w:val="24"/>
          <w:szCs w:val="24"/>
        </w:rPr>
        <w:t>ealth</w:t>
      </w:r>
      <w:r w:rsidR="00DB6E5D">
        <w:rPr>
          <w:bCs/>
          <w:sz w:val="24"/>
          <w:szCs w:val="24"/>
        </w:rPr>
        <w:t>c</w:t>
      </w:r>
      <w:r w:rsidR="000C1409">
        <w:rPr>
          <w:bCs/>
          <w:sz w:val="24"/>
          <w:szCs w:val="24"/>
        </w:rPr>
        <w:t xml:space="preserve">are </w:t>
      </w:r>
      <w:r w:rsidR="00DB6E5D">
        <w:rPr>
          <w:bCs/>
          <w:sz w:val="24"/>
          <w:szCs w:val="24"/>
        </w:rPr>
        <w:t>s</w:t>
      </w:r>
      <w:r w:rsidR="000C1409">
        <w:rPr>
          <w:bCs/>
          <w:sz w:val="24"/>
          <w:szCs w:val="24"/>
        </w:rPr>
        <w:t>pending</w:t>
      </w:r>
    </w:p>
    <w:p w14:paraId="4ED75A68" w14:textId="77777777" w:rsidR="000C1409" w:rsidRPr="0098362B" w:rsidRDefault="000C1409" w:rsidP="006C465B">
      <w:pPr>
        <w:spacing w:after="0" w:line="240" w:lineRule="auto"/>
        <w:jc w:val="both"/>
        <w:rPr>
          <w:b/>
          <w:sz w:val="28"/>
          <w:szCs w:val="28"/>
        </w:rPr>
      </w:pPr>
    </w:p>
    <w:p w14:paraId="6698E0AB" w14:textId="119E496F" w:rsidR="0098362B" w:rsidRPr="006C465B" w:rsidRDefault="0098362B" w:rsidP="006C465B">
      <w:pPr>
        <w:spacing w:after="0" w:line="240" w:lineRule="auto"/>
        <w:jc w:val="both"/>
        <w:rPr>
          <w:b/>
          <w:sz w:val="28"/>
          <w:szCs w:val="28"/>
        </w:rPr>
      </w:pPr>
      <w:r w:rsidRPr="0098362B">
        <w:rPr>
          <w:b/>
          <w:sz w:val="28"/>
          <w:szCs w:val="28"/>
        </w:rPr>
        <w:t>Authors:</w:t>
      </w:r>
      <w:r w:rsidR="006C465B">
        <w:rPr>
          <w:b/>
          <w:sz w:val="28"/>
          <w:szCs w:val="28"/>
        </w:rPr>
        <w:t xml:space="preserve"> </w:t>
      </w:r>
      <w:r w:rsidR="000C1409" w:rsidRPr="000C1409">
        <w:rPr>
          <w:bCs/>
          <w:sz w:val="24"/>
          <w:szCs w:val="24"/>
        </w:rPr>
        <w:t>Stephen E. Congly </w:t>
      </w:r>
      <w:r w:rsidR="000C1409" w:rsidRPr="000C1409">
        <w:rPr>
          <w:bCs/>
          <w:sz w:val="24"/>
          <w:szCs w:val="24"/>
          <w:vertAlign w:val="superscript"/>
        </w:rPr>
        <w:t>a</w:t>
      </w:r>
      <w:r w:rsidR="000C1409" w:rsidRPr="000C1409">
        <w:rPr>
          <w:bCs/>
          <w:sz w:val="24"/>
          <w:szCs w:val="24"/>
        </w:rPr>
        <w:t> </w:t>
      </w:r>
      <w:r w:rsidR="000C1409" w:rsidRPr="000C1409">
        <w:rPr>
          <w:bCs/>
          <w:sz w:val="24"/>
          <w:szCs w:val="24"/>
          <w:vertAlign w:val="superscript"/>
        </w:rPr>
        <w:t>b</w:t>
      </w:r>
      <w:r w:rsidR="000C1409" w:rsidRPr="000C1409">
        <w:rPr>
          <w:bCs/>
          <w:sz w:val="24"/>
          <w:szCs w:val="24"/>
        </w:rPr>
        <w:t>, Ranjani Somayaji </w:t>
      </w:r>
      <w:r w:rsidR="000C1409" w:rsidRPr="000C1409">
        <w:rPr>
          <w:bCs/>
          <w:sz w:val="24"/>
          <w:szCs w:val="24"/>
          <w:vertAlign w:val="superscript"/>
        </w:rPr>
        <w:t>c</w:t>
      </w:r>
      <w:r w:rsidR="000C1409" w:rsidRPr="000C1409">
        <w:rPr>
          <w:bCs/>
          <w:sz w:val="24"/>
          <w:szCs w:val="24"/>
        </w:rPr>
        <w:t> </w:t>
      </w:r>
      <w:r w:rsidR="000C1409" w:rsidRPr="000C1409">
        <w:rPr>
          <w:bCs/>
          <w:sz w:val="24"/>
          <w:szCs w:val="24"/>
          <w:vertAlign w:val="superscript"/>
        </w:rPr>
        <w:t>d</w:t>
      </w:r>
      <w:r w:rsidR="000C1409" w:rsidRPr="000C1409">
        <w:rPr>
          <w:bCs/>
          <w:sz w:val="24"/>
          <w:szCs w:val="24"/>
        </w:rPr>
        <w:t> </w:t>
      </w:r>
      <w:r w:rsidR="000C1409" w:rsidRPr="000C1409">
        <w:rPr>
          <w:bCs/>
          <w:sz w:val="24"/>
          <w:szCs w:val="24"/>
          <w:vertAlign w:val="superscript"/>
        </w:rPr>
        <w:t>f</w:t>
      </w:r>
      <w:r w:rsidR="000C1409" w:rsidRPr="000C1409">
        <w:rPr>
          <w:bCs/>
          <w:sz w:val="24"/>
          <w:szCs w:val="24"/>
        </w:rPr>
        <w:t>, Michael D. Parkins </w:t>
      </w:r>
      <w:r w:rsidR="000C1409" w:rsidRPr="000C1409">
        <w:rPr>
          <w:bCs/>
          <w:sz w:val="24"/>
          <w:szCs w:val="24"/>
          <w:vertAlign w:val="superscript"/>
        </w:rPr>
        <w:t>c</w:t>
      </w:r>
      <w:r w:rsidR="000C1409" w:rsidRPr="000C1409">
        <w:rPr>
          <w:bCs/>
          <w:sz w:val="24"/>
          <w:szCs w:val="24"/>
        </w:rPr>
        <w:t> </w:t>
      </w:r>
      <w:r w:rsidR="000C1409" w:rsidRPr="000C1409">
        <w:rPr>
          <w:bCs/>
          <w:sz w:val="24"/>
          <w:szCs w:val="24"/>
          <w:vertAlign w:val="superscript"/>
        </w:rPr>
        <w:t>d</w:t>
      </w:r>
      <w:r w:rsidR="000C1409" w:rsidRPr="000C1409">
        <w:rPr>
          <w:bCs/>
          <w:sz w:val="24"/>
          <w:szCs w:val="24"/>
        </w:rPr>
        <w:t>, Christina S. Thornton </w:t>
      </w:r>
      <w:r w:rsidR="000C1409" w:rsidRPr="000C1409">
        <w:rPr>
          <w:bCs/>
          <w:sz w:val="24"/>
          <w:szCs w:val="24"/>
          <w:vertAlign w:val="superscript"/>
        </w:rPr>
        <w:t>c</w:t>
      </w:r>
      <w:r w:rsidR="000C1409" w:rsidRPr="000C1409">
        <w:rPr>
          <w:bCs/>
          <w:sz w:val="24"/>
          <w:szCs w:val="24"/>
        </w:rPr>
        <w:t> </w:t>
      </w:r>
      <w:r w:rsidR="000C1409" w:rsidRPr="000C1409">
        <w:rPr>
          <w:bCs/>
          <w:sz w:val="24"/>
          <w:szCs w:val="24"/>
          <w:vertAlign w:val="superscript"/>
        </w:rPr>
        <w:t>e</w:t>
      </w:r>
    </w:p>
    <w:p w14:paraId="510ABD1B" w14:textId="77777777" w:rsidR="000C1409" w:rsidRDefault="000C1409" w:rsidP="006C465B">
      <w:pPr>
        <w:spacing w:after="0" w:line="240" w:lineRule="auto"/>
        <w:jc w:val="both"/>
        <w:rPr>
          <w:b/>
          <w:sz w:val="28"/>
          <w:szCs w:val="28"/>
        </w:rPr>
      </w:pPr>
    </w:p>
    <w:p w14:paraId="11EFFD1B" w14:textId="1052BC33" w:rsidR="0098362B" w:rsidRDefault="0098362B" w:rsidP="006C465B">
      <w:pPr>
        <w:spacing w:after="0" w:line="240" w:lineRule="auto"/>
        <w:jc w:val="both"/>
        <w:rPr>
          <w:b/>
          <w:sz w:val="28"/>
          <w:szCs w:val="28"/>
        </w:rPr>
      </w:pPr>
      <w:r w:rsidRPr="0098362B">
        <w:rPr>
          <w:b/>
          <w:sz w:val="28"/>
          <w:szCs w:val="28"/>
        </w:rPr>
        <w:t>Affiliations:</w:t>
      </w:r>
    </w:p>
    <w:p w14:paraId="4D208D38" w14:textId="5243CC08" w:rsidR="000C1409" w:rsidRPr="000C1409" w:rsidRDefault="000C1409" w:rsidP="006C465B">
      <w:pPr>
        <w:spacing w:after="0" w:line="240" w:lineRule="auto"/>
        <w:jc w:val="both"/>
        <w:rPr>
          <w:bCs/>
          <w:sz w:val="24"/>
          <w:szCs w:val="24"/>
        </w:rPr>
      </w:pPr>
      <w:r w:rsidRPr="000C1409">
        <w:rPr>
          <w:bCs/>
          <w:sz w:val="24"/>
          <w:szCs w:val="24"/>
        </w:rPr>
        <w:t>A</w:t>
      </w:r>
      <w:r>
        <w:rPr>
          <w:bCs/>
          <w:sz w:val="24"/>
          <w:szCs w:val="24"/>
        </w:rPr>
        <w:t xml:space="preserve"> </w:t>
      </w:r>
      <w:r w:rsidRPr="000C1409">
        <w:rPr>
          <w:bCs/>
          <w:sz w:val="24"/>
          <w:szCs w:val="24"/>
        </w:rPr>
        <w:t>Divisions of Gastroenterology and Hepatology and Transplant Medicine, Department of Medicine, Cumming School of Medicine, University of Calgary, Calgary, AB, Canada</w:t>
      </w:r>
    </w:p>
    <w:p w14:paraId="6445051F" w14:textId="23FC4687" w:rsidR="000C1409" w:rsidRPr="000C1409" w:rsidRDefault="000C1409" w:rsidP="006C465B">
      <w:pPr>
        <w:spacing w:after="0" w:line="240" w:lineRule="auto"/>
        <w:jc w:val="both"/>
        <w:rPr>
          <w:bCs/>
          <w:sz w:val="24"/>
          <w:szCs w:val="24"/>
        </w:rPr>
      </w:pPr>
      <w:r>
        <w:rPr>
          <w:bCs/>
          <w:sz w:val="24"/>
          <w:szCs w:val="24"/>
        </w:rPr>
        <w:t xml:space="preserve">b </w:t>
      </w:r>
      <w:r w:rsidRPr="000C1409">
        <w:rPr>
          <w:bCs/>
          <w:sz w:val="24"/>
          <w:szCs w:val="24"/>
        </w:rPr>
        <w:t>Arnie Charbonneau Cancer Institute and O’Brien Institute of Public Health, Cumming School of Medicine, University of Calgary, Calgary, AB, Canada</w:t>
      </w:r>
    </w:p>
    <w:p w14:paraId="762A2474" w14:textId="14A206B0" w:rsidR="000C1409" w:rsidRPr="000C1409" w:rsidRDefault="000C1409" w:rsidP="006C465B">
      <w:pPr>
        <w:spacing w:after="0" w:line="240" w:lineRule="auto"/>
        <w:jc w:val="both"/>
        <w:rPr>
          <w:bCs/>
          <w:sz w:val="24"/>
          <w:szCs w:val="24"/>
        </w:rPr>
      </w:pPr>
      <w:r w:rsidRPr="000C1409">
        <w:rPr>
          <w:bCs/>
          <w:sz w:val="24"/>
          <w:szCs w:val="24"/>
        </w:rPr>
        <w:t>c</w:t>
      </w:r>
      <w:r>
        <w:rPr>
          <w:bCs/>
          <w:sz w:val="24"/>
          <w:szCs w:val="24"/>
        </w:rPr>
        <w:t xml:space="preserve"> </w:t>
      </w:r>
      <w:r w:rsidRPr="000C1409">
        <w:rPr>
          <w:bCs/>
          <w:sz w:val="24"/>
          <w:szCs w:val="24"/>
        </w:rPr>
        <w:t>Department of Microbiology, Immunology and Infectious Diseases, University of Calgary, Calgary, AB, Canada</w:t>
      </w:r>
    </w:p>
    <w:p w14:paraId="387F1286" w14:textId="1420CA84" w:rsidR="000C1409" w:rsidRPr="000C1409" w:rsidRDefault="000C1409" w:rsidP="006C465B">
      <w:pPr>
        <w:spacing w:after="0" w:line="240" w:lineRule="auto"/>
        <w:jc w:val="both"/>
        <w:rPr>
          <w:bCs/>
          <w:sz w:val="24"/>
          <w:szCs w:val="24"/>
        </w:rPr>
      </w:pPr>
      <w:r w:rsidRPr="000C1409">
        <w:rPr>
          <w:bCs/>
          <w:sz w:val="24"/>
          <w:szCs w:val="24"/>
        </w:rPr>
        <w:t>d</w:t>
      </w:r>
      <w:r>
        <w:rPr>
          <w:bCs/>
          <w:sz w:val="24"/>
          <w:szCs w:val="24"/>
        </w:rPr>
        <w:t xml:space="preserve"> </w:t>
      </w:r>
      <w:r w:rsidRPr="000C1409">
        <w:rPr>
          <w:bCs/>
          <w:sz w:val="24"/>
          <w:szCs w:val="24"/>
        </w:rPr>
        <w:t>Division of Infectious Diseases, Department of Medicine, Cumming School of Medicine, University of Calgary, Calgary, AB, Canada</w:t>
      </w:r>
    </w:p>
    <w:p w14:paraId="74B3A9E4" w14:textId="004BFF4D" w:rsidR="000C1409" w:rsidRPr="000C1409" w:rsidRDefault="000C1409" w:rsidP="006C465B">
      <w:pPr>
        <w:spacing w:after="0" w:line="240" w:lineRule="auto"/>
        <w:jc w:val="both"/>
        <w:rPr>
          <w:bCs/>
          <w:sz w:val="24"/>
          <w:szCs w:val="24"/>
        </w:rPr>
      </w:pPr>
      <w:r w:rsidRPr="000C1409">
        <w:rPr>
          <w:bCs/>
          <w:sz w:val="24"/>
          <w:szCs w:val="24"/>
        </w:rPr>
        <w:t>e</w:t>
      </w:r>
      <w:r>
        <w:rPr>
          <w:bCs/>
          <w:sz w:val="24"/>
          <w:szCs w:val="24"/>
        </w:rPr>
        <w:t xml:space="preserve"> </w:t>
      </w:r>
      <w:r w:rsidRPr="000C1409">
        <w:rPr>
          <w:bCs/>
          <w:sz w:val="24"/>
          <w:szCs w:val="24"/>
        </w:rPr>
        <w:t>Division of Respirology, Department of Medicine, Cumming School of Medicine, University of Calgary, Calgary, AB, Canada</w:t>
      </w:r>
    </w:p>
    <w:p w14:paraId="3ECDA763" w14:textId="24F9812B" w:rsidR="0098362B" w:rsidRDefault="000C1409" w:rsidP="006C465B">
      <w:pPr>
        <w:spacing w:after="0" w:line="240" w:lineRule="auto"/>
        <w:jc w:val="both"/>
        <w:rPr>
          <w:bCs/>
          <w:sz w:val="24"/>
          <w:szCs w:val="24"/>
        </w:rPr>
      </w:pPr>
      <w:r w:rsidRPr="000C1409">
        <w:rPr>
          <w:bCs/>
          <w:sz w:val="24"/>
          <w:szCs w:val="24"/>
        </w:rPr>
        <w:t>f</w:t>
      </w:r>
      <w:r>
        <w:rPr>
          <w:bCs/>
          <w:sz w:val="24"/>
          <w:szCs w:val="24"/>
        </w:rPr>
        <w:t xml:space="preserve"> </w:t>
      </w:r>
      <w:r w:rsidRPr="000C1409">
        <w:rPr>
          <w:bCs/>
          <w:sz w:val="24"/>
          <w:szCs w:val="24"/>
        </w:rPr>
        <w:t>Department of Community Health Sciences, University of Calgary, Calgary, AB, Canada</w:t>
      </w:r>
    </w:p>
    <w:p w14:paraId="44920026" w14:textId="77777777" w:rsidR="000C1409" w:rsidRPr="000C1409" w:rsidRDefault="000C1409" w:rsidP="006C465B">
      <w:pPr>
        <w:spacing w:after="0" w:line="240" w:lineRule="auto"/>
        <w:jc w:val="both"/>
        <w:rPr>
          <w:bCs/>
          <w:sz w:val="24"/>
          <w:szCs w:val="24"/>
        </w:rPr>
      </w:pPr>
    </w:p>
    <w:p w14:paraId="729B4BBE" w14:textId="3C42E522" w:rsidR="0098362B" w:rsidRDefault="0098362B" w:rsidP="006C465B">
      <w:pPr>
        <w:spacing w:after="0" w:line="240" w:lineRule="auto"/>
        <w:jc w:val="both"/>
        <w:rPr>
          <w:b/>
          <w:sz w:val="28"/>
          <w:szCs w:val="28"/>
        </w:rPr>
      </w:pPr>
      <w:r w:rsidRPr="0098362B">
        <w:rPr>
          <w:b/>
          <w:sz w:val="28"/>
          <w:szCs w:val="28"/>
        </w:rPr>
        <w:t>What was your research question?</w:t>
      </w:r>
    </w:p>
    <w:p w14:paraId="4AB59C81" w14:textId="561A4D25" w:rsidR="0098362B" w:rsidRDefault="000C1409" w:rsidP="006C465B">
      <w:pPr>
        <w:spacing w:after="0" w:line="240" w:lineRule="auto"/>
        <w:jc w:val="both"/>
        <w:rPr>
          <w:b/>
          <w:sz w:val="28"/>
          <w:szCs w:val="28"/>
        </w:rPr>
      </w:pPr>
      <w:proofErr w:type="spellStart"/>
      <w:r>
        <w:rPr>
          <w:bCs/>
          <w:sz w:val="24"/>
          <w:szCs w:val="24"/>
        </w:rPr>
        <w:t>E</w:t>
      </w:r>
      <w:r w:rsidRPr="000C1409">
        <w:rPr>
          <w:bCs/>
          <w:sz w:val="24"/>
          <w:szCs w:val="24"/>
        </w:rPr>
        <w:t>lexacaftor</w:t>
      </w:r>
      <w:proofErr w:type="spellEnd"/>
      <w:r w:rsidRPr="000C1409">
        <w:rPr>
          <w:bCs/>
          <w:sz w:val="24"/>
          <w:szCs w:val="24"/>
        </w:rPr>
        <w:t>/</w:t>
      </w:r>
      <w:proofErr w:type="spellStart"/>
      <w:r w:rsidRPr="000C1409">
        <w:rPr>
          <w:bCs/>
          <w:sz w:val="24"/>
          <w:szCs w:val="24"/>
        </w:rPr>
        <w:t>tezacaftor</w:t>
      </w:r>
      <w:proofErr w:type="spellEnd"/>
      <w:r w:rsidRPr="000C1409">
        <w:rPr>
          <w:bCs/>
          <w:sz w:val="24"/>
          <w:szCs w:val="24"/>
        </w:rPr>
        <w:t>/ivacaftor</w:t>
      </w:r>
      <w:r>
        <w:rPr>
          <w:bCs/>
          <w:sz w:val="24"/>
          <w:szCs w:val="24"/>
        </w:rPr>
        <w:t xml:space="preserve"> (ETI) has improved both the quality of life and survival of patients living with cystic fibrosis (</w:t>
      </w:r>
      <w:proofErr w:type="spellStart"/>
      <w:r>
        <w:rPr>
          <w:bCs/>
          <w:sz w:val="24"/>
          <w:szCs w:val="24"/>
        </w:rPr>
        <w:t>pwCF</w:t>
      </w:r>
      <w:proofErr w:type="spellEnd"/>
      <w:r>
        <w:rPr>
          <w:bCs/>
          <w:sz w:val="24"/>
          <w:szCs w:val="24"/>
        </w:rPr>
        <w:t xml:space="preserve">) but </w:t>
      </w:r>
      <w:r w:rsidR="00DB6E5D">
        <w:rPr>
          <w:bCs/>
          <w:sz w:val="24"/>
          <w:szCs w:val="24"/>
        </w:rPr>
        <w:t xml:space="preserve">has a cost of </w:t>
      </w:r>
      <w:r>
        <w:rPr>
          <w:bCs/>
          <w:sz w:val="24"/>
          <w:szCs w:val="24"/>
        </w:rPr>
        <w:t>&gt;$300K Canadian/year. We wanted to understand the impact of ETI on overall health spending</w:t>
      </w:r>
      <w:r w:rsidR="00DB6E5D">
        <w:rPr>
          <w:bCs/>
          <w:sz w:val="24"/>
          <w:szCs w:val="24"/>
        </w:rPr>
        <w:t xml:space="preserve"> in Canada</w:t>
      </w:r>
      <w:r>
        <w:rPr>
          <w:bCs/>
          <w:sz w:val="24"/>
          <w:szCs w:val="24"/>
        </w:rPr>
        <w:t>.</w:t>
      </w:r>
    </w:p>
    <w:p w14:paraId="0439F823" w14:textId="77777777" w:rsidR="000C1409" w:rsidRPr="0098362B" w:rsidRDefault="000C1409" w:rsidP="006C465B">
      <w:pPr>
        <w:spacing w:after="0" w:line="240" w:lineRule="auto"/>
        <w:jc w:val="both"/>
        <w:rPr>
          <w:b/>
          <w:sz w:val="28"/>
          <w:szCs w:val="28"/>
        </w:rPr>
      </w:pPr>
    </w:p>
    <w:p w14:paraId="22D21517" w14:textId="5BACE987" w:rsidR="00540382" w:rsidRDefault="0098362B" w:rsidP="006C465B">
      <w:pPr>
        <w:spacing w:after="0" w:line="240" w:lineRule="auto"/>
        <w:jc w:val="both"/>
        <w:rPr>
          <w:b/>
          <w:sz w:val="28"/>
          <w:szCs w:val="28"/>
        </w:rPr>
      </w:pPr>
      <w:r w:rsidRPr="0098362B">
        <w:rPr>
          <w:b/>
          <w:sz w:val="28"/>
          <w:szCs w:val="28"/>
        </w:rPr>
        <w:t>Why is this important?</w:t>
      </w:r>
    </w:p>
    <w:p w14:paraId="60F6A40E" w14:textId="59D67F95" w:rsidR="00DB6E5D" w:rsidRDefault="00DB6E5D" w:rsidP="006C465B">
      <w:pPr>
        <w:spacing w:after="0" w:line="240" w:lineRule="auto"/>
        <w:jc w:val="both"/>
        <w:rPr>
          <w:bCs/>
          <w:sz w:val="24"/>
          <w:szCs w:val="24"/>
        </w:rPr>
      </w:pPr>
      <w:r>
        <w:rPr>
          <w:bCs/>
          <w:sz w:val="24"/>
          <w:szCs w:val="24"/>
        </w:rPr>
        <w:t xml:space="preserve">The use of ETI has been shown to improve lung function and is associated with reduction in the rate of hospitalization and the length of stay in hospital leading to reduced costs to the healthcare system. However, this savings is balanced against the cost of ETI. Given this, we wanted to estimate the net cost/savings to the Canadian healthcare system with the use of ETI in </w:t>
      </w:r>
      <w:proofErr w:type="spellStart"/>
      <w:r>
        <w:rPr>
          <w:bCs/>
          <w:sz w:val="24"/>
          <w:szCs w:val="24"/>
        </w:rPr>
        <w:t>pwCF</w:t>
      </w:r>
      <w:proofErr w:type="spellEnd"/>
      <w:r>
        <w:rPr>
          <w:bCs/>
          <w:sz w:val="24"/>
          <w:szCs w:val="24"/>
        </w:rPr>
        <w:t>.</w:t>
      </w:r>
    </w:p>
    <w:p w14:paraId="53BFBEAD" w14:textId="77777777" w:rsidR="00DB6E5D" w:rsidRPr="0098362B" w:rsidRDefault="00DB6E5D" w:rsidP="006C465B">
      <w:pPr>
        <w:spacing w:after="0" w:line="240" w:lineRule="auto"/>
        <w:jc w:val="both"/>
        <w:rPr>
          <w:b/>
          <w:sz w:val="28"/>
          <w:szCs w:val="28"/>
        </w:rPr>
      </w:pPr>
    </w:p>
    <w:p w14:paraId="4728BB32" w14:textId="77777777" w:rsidR="00A43C2F" w:rsidRDefault="00A43C2F" w:rsidP="006C465B">
      <w:pPr>
        <w:spacing w:after="0" w:line="240" w:lineRule="auto"/>
        <w:jc w:val="both"/>
        <w:rPr>
          <w:b/>
          <w:sz w:val="28"/>
          <w:szCs w:val="28"/>
        </w:rPr>
      </w:pPr>
    </w:p>
    <w:p w14:paraId="71BF3942" w14:textId="76521CD3" w:rsidR="00540382" w:rsidRPr="00540382" w:rsidRDefault="0098362B" w:rsidP="006C465B">
      <w:pPr>
        <w:spacing w:after="0" w:line="240" w:lineRule="auto"/>
        <w:jc w:val="both"/>
        <w:rPr>
          <w:b/>
          <w:i/>
          <w:sz w:val="28"/>
          <w:szCs w:val="28"/>
        </w:rPr>
      </w:pPr>
      <w:r w:rsidRPr="0098362B">
        <w:rPr>
          <w:b/>
          <w:sz w:val="28"/>
          <w:szCs w:val="28"/>
        </w:rPr>
        <w:t>What did you do?</w:t>
      </w:r>
    </w:p>
    <w:p w14:paraId="3EE415B9" w14:textId="0C65C133" w:rsidR="0098362B" w:rsidRPr="00DB6E5D" w:rsidRDefault="00DB6E5D" w:rsidP="006C465B">
      <w:pPr>
        <w:spacing w:after="0" w:line="240" w:lineRule="auto"/>
        <w:jc w:val="both"/>
        <w:rPr>
          <w:bCs/>
          <w:sz w:val="24"/>
          <w:szCs w:val="24"/>
        </w:rPr>
      </w:pPr>
      <w:r w:rsidRPr="00DB6E5D">
        <w:rPr>
          <w:bCs/>
          <w:sz w:val="24"/>
          <w:szCs w:val="24"/>
        </w:rPr>
        <w:lastRenderedPageBreak/>
        <w:t>We used</w:t>
      </w:r>
      <w:r>
        <w:rPr>
          <w:bCs/>
          <w:sz w:val="24"/>
          <w:szCs w:val="24"/>
        </w:rPr>
        <w:t xml:space="preserve"> data collected by the </w:t>
      </w:r>
      <w:r w:rsidRPr="00DB6E5D">
        <w:rPr>
          <w:bCs/>
          <w:sz w:val="24"/>
          <w:szCs w:val="24"/>
        </w:rPr>
        <w:t>Canadian Institute for Health Information (CIHI)</w:t>
      </w:r>
      <w:r>
        <w:rPr>
          <w:bCs/>
          <w:sz w:val="24"/>
          <w:szCs w:val="24"/>
        </w:rPr>
        <w:t xml:space="preserve"> capturing health care costs in a group of 683 patients throughout the country. Health care costs for each patient were calculated one year prior to starting ETI and one year after starting ETI. Healthcare costs included physician visits, hospitalizations, </w:t>
      </w:r>
      <w:r w:rsidR="003504F9">
        <w:rPr>
          <w:bCs/>
          <w:sz w:val="24"/>
          <w:szCs w:val="24"/>
        </w:rPr>
        <w:t>non ETI medications, and laboratory tests.</w:t>
      </w:r>
    </w:p>
    <w:p w14:paraId="4E807347" w14:textId="77777777" w:rsidR="00DB6E5D" w:rsidRPr="0098362B" w:rsidRDefault="00DB6E5D" w:rsidP="006C465B">
      <w:pPr>
        <w:spacing w:after="0" w:line="240" w:lineRule="auto"/>
        <w:jc w:val="both"/>
        <w:rPr>
          <w:b/>
          <w:sz w:val="28"/>
          <w:szCs w:val="28"/>
        </w:rPr>
      </w:pPr>
    </w:p>
    <w:p w14:paraId="755B62A5" w14:textId="4DE45B90" w:rsidR="00A43C2F" w:rsidRPr="00540382" w:rsidRDefault="0098362B" w:rsidP="006C465B">
      <w:pPr>
        <w:spacing w:after="0" w:line="240" w:lineRule="auto"/>
        <w:jc w:val="both"/>
        <w:rPr>
          <w:b/>
          <w:i/>
          <w:sz w:val="28"/>
          <w:szCs w:val="28"/>
        </w:rPr>
      </w:pPr>
      <w:r w:rsidRPr="0098362B">
        <w:rPr>
          <w:b/>
          <w:sz w:val="28"/>
          <w:szCs w:val="28"/>
        </w:rPr>
        <w:t>What did you find?</w:t>
      </w:r>
    </w:p>
    <w:p w14:paraId="1068E065" w14:textId="35DD526D" w:rsidR="00A43C2F" w:rsidRPr="003504F9" w:rsidRDefault="003504F9" w:rsidP="006C465B">
      <w:pPr>
        <w:spacing w:after="0" w:line="240" w:lineRule="auto"/>
        <w:jc w:val="both"/>
        <w:rPr>
          <w:bCs/>
          <w:sz w:val="24"/>
          <w:szCs w:val="24"/>
        </w:rPr>
      </w:pPr>
      <w:r>
        <w:rPr>
          <w:bCs/>
          <w:sz w:val="24"/>
          <w:szCs w:val="24"/>
        </w:rPr>
        <w:t>Prior to the introduction of ETI, there was an annual healthcare cost of $17.6 million CDN ($25,817/person) including</w:t>
      </w:r>
      <w:r w:rsidR="00A43C2F">
        <w:rPr>
          <w:bCs/>
          <w:sz w:val="24"/>
          <w:szCs w:val="24"/>
        </w:rPr>
        <w:t xml:space="preserve"> non ETI </w:t>
      </w:r>
      <w:r>
        <w:rPr>
          <w:bCs/>
          <w:sz w:val="24"/>
          <w:szCs w:val="24"/>
        </w:rPr>
        <w:t xml:space="preserve">medications, </w:t>
      </w:r>
      <w:r w:rsidR="00A43C2F">
        <w:rPr>
          <w:bCs/>
          <w:sz w:val="24"/>
          <w:szCs w:val="24"/>
        </w:rPr>
        <w:t xml:space="preserve">patient care and investigations. In the year after ETI introduction, costs decreased by $6.9 million ($10,037/person) related to 75% reduced hospitalization costs. When the list cost of ETI was accounted for, the total spending increased by $202.6 million ($296,773/person). For ETI </w:t>
      </w:r>
      <w:r w:rsidR="00A43C2F" w:rsidRPr="00A43C2F">
        <w:rPr>
          <w:bCs/>
          <w:sz w:val="24"/>
          <w:szCs w:val="24"/>
        </w:rPr>
        <w:t>to be cost neutral, the price would need to be under $10,037 annually.</w:t>
      </w:r>
    </w:p>
    <w:p w14:paraId="2B9CBE19" w14:textId="77777777" w:rsidR="003504F9" w:rsidRPr="0098362B" w:rsidRDefault="003504F9" w:rsidP="006C465B">
      <w:pPr>
        <w:spacing w:after="0" w:line="240" w:lineRule="auto"/>
        <w:jc w:val="both"/>
        <w:rPr>
          <w:b/>
          <w:sz w:val="28"/>
          <w:szCs w:val="28"/>
        </w:rPr>
      </w:pPr>
    </w:p>
    <w:p w14:paraId="33103A36" w14:textId="23B21EA0" w:rsidR="00540382" w:rsidRPr="00540382" w:rsidRDefault="0098362B" w:rsidP="006C465B">
      <w:pPr>
        <w:spacing w:after="0" w:line="240" w:lineRule="auto"/>
        <w:jc w:val="both"/>
        <w:rPr>
          <w:b/>
          <w:i/>
          <w:sz w:val="28"/>
          <w:szCs w:val="28"/>
        </w:rPr>
      </w:pPr>
      <w:r w:rsidRPr="0098362B">
        <w:rPr>
          <w:b/>
          <w:sz w:val="28"/>
          <w:szCs w:val="28"/>
        </w:rPr>
        <w:t>What does this mean and reasons for caution?</w:t>
      </w:r>
    </w:p>
    <w:p w14:paraId="6B52BD1B" w14:textId="08ED1D32" w:rsidR="0098362B" w:rsidRPr="00A43C2F" w:rsidRDefault="00A43C2F" w:rsidP="006C465B">
      <w:pPr>
        <w:spacing w:after="0" w:line="240" w:lineRule="auto"/>
        <w:jc w:val="both"/>
        <w:rPr>
          <w:bCs/>
          <w:sz w:val="24"/>
          <w:szCs w:val="24"/>
        </w:rPr>
      </w:pPr>
      <w:r>
        <w:rPr>
          <w:bCs/>
          <w:sz w:val="24"/>
          <w:szCs w:val="24"/>
        </w:rPr>
        <w:t xml:space="preserve">Overall, the cost of ETI based on its list price exceeded the savings in other aspects of the healthcare system. This study only looks at one-year pre and post ETI introduction and so the benefits of ETI may be underestimated. In addition, </w:t>
      </w:r>
      <w:r w:rsidR="00142165">
        <w:rPr>
          <w:bCs/>
          <w:sz w:val="24"/>
          <w:szCs w:val="24"/>
        </w:rPr>
        <w:t>benefits such as improved quality of life and increased work production are not captured which may also impact the value of ETI.</w:t>
      </w:r>
    </w:p>
    <w:p w14:paraId="7FC8B0CC" w14:textId="77777777" w:rsidR="00A43C2F" w:rsidRPr="0098362B" w:rsidRDefault="00A43C2F" w:rsidP="006C465B">
      <w:pPr>
        <w:spacing w:after="0" w:line="240" w:lineRule="auto"/>
        <w:jc w:val="both"/>
        <w:rPr>
          <w:b/>
          <w:sz w:val="28"/>
          <w:szCs w:val="28"/>
        </w:rPr>
      </w:pPr>
    </w:p>
    <w:p w14:paraId="635AB057" w14:textId="4CE30769" w:rsidR="00540382" w:rsidRDefault="0098362B" w:rsidP="006C465B">
      <w:pPr>
        <w:spacing w:after="0" w:line="240" w:lineRule="auto"/>
        <w:jc w:val="both"/>
        <w:rPr>
          <w:b/>
          <w:sz w:val="28"/>
          <w:szCs w:val="28"/>
        </w:rPr>
      </w:pPr>
      <w:r w:rsidRPr="0098362B">
        <w:rPr>
          <w:b/>
          <w:sz w:val="28"/>
          <w:szCs w:val="28"/>
        </w:rPr>
        <w:t>What’s next?</w:t>
      </w:r>
    </w:p>
    <w:p w14:paraId="7FC0C7DC" w14:textId="7D875C0B" w:rsidR="00540382" w:rsidRPr="00142165" w:rsidRDefault="00142165" w:rsidP="006C465B">
      <w:pPr>
        <w:jc w:val="both"/>
        <w:rPr>
          <w:bCs/>
          <w:sz w:val="24"/>
          <w:szCs w:val="28"/>
        </w:rPr>
      </w:pPr>
      <w:r w:rsidRPr="00142165">
        <w:rPr>
          <w:bCs/>
          <w:sz w:val="24"/>
          <w:szCs w:val="28"/>
        </w:rPr>
        <w:t>Further</w:t>
      </w:r>
      <w:r>
        <w:rPr>
          <w:bCs/>
          <w:sz w:val="24"/>
          <w:szCs w:val="28"/>
        </w:rPr>
        <w:t xml:space="preserve"> analysis of healthcare spending beyond 1 year of ETI introduction as well as study of work productivity will help provide a better understanding of the global economic value of ETI to society.</w:t>
      </w:r>
    </w:p>
    <w:p w14:paraId="117B7821" w14:textId="77777777" w:rsidR="00A43C2F" w:rsidRPr="00DA0A31" w:rsidRDefault="00A43C2F" w:rsidP="006C465B">
      <w:pPr>
        <w:spacing w:after="0" w:line="240" w:lineRule="auto"/>
        <w:jc w:val="both"/>
        <w:rPr>
          <w:rFonts w:ascii="Calibri" w:hAnsi="Calibri" w:cs="Calibri"/>
          <w:b/>
          <w:bCs/>
          <w:sz w:val="28"/>
          <w:szCs w:val="28"/>
          <w:lang w:val="en-US"/>
        </w:rPr>
      </w:pPr>
      <w:r w:rsidRPr="00DA0A31">
        <w:rPr>
          <w:rFonts w:ascii="Calibri" w:hAnsi="Calibri" w:cs="Calibri"/>
          <w:b/>
          <w:bCs/>
          <w:sz w:val="28"/>
          <w:szCs w:val="28"/>
          <w:lang w:val="en-US"/>
        </w:rPr>
        <w:t>Original manuscript citation in PubMed</w:t>
      </w:r>
    </w:p>
    <w:p w14:paraId="10825D71" w14:textId="5EE670DF" w:rsidR="003504F9" w:rsidRDefault="006C465B" w:rsidP="006C465B">
      <w:pPr>
        <w:jc w:val="both"/>
        <w:rPr>
          <w:bCs/>
          <w:iCs/>
          <w:sz w:val="24"/>
          <w:szCs w:val="28"/>
        </w:rPr>
      </w:pPr>
      <w:hyperlink r:id="rId9" w:history="1">
        <w:r w:rsidRPr="00360D9F">
          <w:rPr>
            <w:rStyle w:val="Hyperlink"/>
            <w:bCs/>
            <w:iCs/>
            <w:sz w:val="24"/>
            <w:szCs w:val="28"/>
          </w:rPr>
          <w:t>https://pubmed.ncbi.nlm.nih.gov/410936</w:t>
        </w:r>
        <w:r w:rsidRPr="00360D9F">
          <w:rPr>
            <w:rStyle w:val="Hyperlink"/>
            <w:bCs/>
            <w:iCs/>
            <w:sz w:val="24"/>
            <w:szCs w:val="28"/>
          </w:rPr>
          <w:t>7</w:t>
        </w:r>
        <w:r w:rsidRPr="00360D9F">
          <w:rPr>
            <w:rStyle w:val="Hyperlink"/>
            <w:bCs/>
            <w:iCs/>
            <w:sz w:val="24"/>
            <w:szCs w:val="28"/>
          </w:rPr>
          <w:t>9/</w:t>
        </w:r>
      </w:hyperlink>
    </w:p>
    <w:p w14:paraId="789AB0C3" w14:textId="77777777" w:rsidR="006C465B" w:rsidRPr="00A43C2F" w:rsidRDefault="006C465B" w:rsidP="006C465B">
      <w:pPr>
        <w:jc w:val="both"/>
        <w:rPr>
          <w:bCs/>
          <w:iCs/>
          <w:color w:val="FF0000"/>
          <w:sz w:val="24"/>
          <w:szCs w:val="28"/>
        </w:rPr>
      </w:pPr>
    </w:p>
    <w:p w14:paraId="7689E275" w14:textId="77777777" w:rsidR="003504F9" w:rsidRDefault="003504F9" w:rsidP="006C465B">
      <w:pPr>
        <w:jc w:val="both"/>
        <w:rPr>
          <w:b/>
          <w:i/>
          <w:color w:val="FF0000"/>
          <w:sz w:val="24"/>
          <w:szCs w:val="28"/>
        </w:rPr>
      </w:pPr>
    </w:p>
    <w:p w14:paraId="33B46237" w14:textId="6624FC32" w:rsidR="00540382" w:rsidRPr="00540382" w:rsidRDefault="00540382" w:rsidP="006C465B">
      <w:pPr>
        <w:jc w:val="both"/>
        <w:rPr>
          <w:i/>
          <w:sz w:val="24"/>
          <w:szCs w:val="28"/>
        </w:rPr>
      </w:pPr>
    </w:p>
    <w:sectPr w:rsidR="00540382" w:rsidRPr="0054038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75A1F" w14:textId="77777777" w:rsidR="00345073" w:rsidRDefault="00345073" w:rsidP="008B1278">
      <w:pPr>
        <w:spacing w:after="0" w:line="240" w:lineRule="auto"/>
      </w:pPr>
      <w:r>
        <w:separator/>
      </w:r>
    </w:p>
  </w:endnote>
  <w:endnote w:type="continuationSeparator" w:id="0">
    <w:p w14:paraId="11205997" w14:textId="77777777" w:rsidR="00345073" w:rsidRDefault="00345073"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FB30" w14:textId="77777777" w:rsidR="00345073" w:rsidRDefault="00345073" w:rsidP="008B1278">
      <w:pPr>
        <w:spacing w:after="0" w:line="240" w:lineRule="auto"/>
      </w:pPr>
      <w:r>
        <w:separator/>
      </w:r>
    </w:p>
  </w:footnote>
  <w:footnote w:type="continuationSeparator" w:id="0">
    <w:p w14:paraId="14D802B3" w14:textId="77777777" w:rsidR="00345073" w:rsidRDefault="00345073"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C1409"/>
    <w:rsid w:val="00142165"/>
    <w:rsid w:val="00156404"/>
    <w:rsid w:val="00257E89"/>
    <w:rsid w:val="00345073"/>
    <w:rsid w:val="003504F9"/>
    <w:rsid w:val="003E4363"/>
    <w:rsid w:val="00423CFF"/>
    <w:rsid w:val="0049290B"/>
    <w:rsid w:val="00540382"/>
    <w:rsid w:val="005C6233"/>
    <w:rsid w:val="006A7976"/>
    <w:rsid w:val="006C465B"/>
    <w:rsid w:val="00717EB1"/>
    <w:rsid w:val="00753B04"/>
    <w:rsid w:val="00776DD6"/>
    <w:rsid w:val="007C34C3"/>
    <w:rsid w:val="008B1278"/>
    <w:rsid w:val="0098362B"/>
    <w:rsid w:val="009F4155"/>
    <w:rsid w:val="00A43C2F"/>
    <w:rsid w:val="00CF30A7"/>
    <w:rsid w:val="00D34783"/>
    <w:rsid w:val="00D36FED"/>
    <w:rsid w:val="00DB6E5D"/>
    <w:rsid w:val="00F17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6C465B"/>
    <w:rPr>
      <w:color w:val="605E5C"/>
      <w:shd w:val="clear" w:color="auto" w:fill="E1DFDD"/>
    </w:rPr>
  </w:style>
  <w:style w:type="character" w:styleId="FollowedHyperlink">
    <w:name w:val="FollowedHyperlink"/>
    <w:basedOn w:val="DefaultParagraphFont"/>
    <w:uiPriority w:val="99"/>
    <w:semiHidden/>
    <w:unhideWhenUsed/>
    <w:rsid w:val="006C4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09367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2.xml><?xml version="1.0" encoding="utf-8"?>
<ds:datastoreItem xmlns:ds="http://schemas.openxmlformats.org/officeDocument/2006/customXml" ds:itemID="{C981A593-1F74-47A6-9874-A99D1FFBF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60</TotalTime>
  <Pages>2</Pages>
  <Words>529</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2019-06-15T06:06:00Z</dcterms:created>
  <dcterms:modified xsi:type="dcterms:W3CDTF">2026-02-23T17:35:00Z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