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7A6" w14:textId="47AD2A42" w:rsidR="00BA2885" w:rsidRPr="008D080B" w:rsidRDefault="0098362B" w:rsidP="00C96B73">
      <w:pPr>
        <w:spacing w:after="0" w:line="240" w:lineRule="auto"/>
        <w:jc w:val="both"/>
        <w:rPr>
          <w:rFonts w:cstheme="minorHAnsi"/>
          <w:b/>
          <w:sz w:val="28"/>
          <w:szCs w:val="28"/>
        </w:rPr>
      </w:pPr>
      <w:r w:rsidRPr="008D080B">
        <w:rPr>
          <w:rFonts w:cstheme="minorHAnsi"/>
          <w:b/>
          <w:sz w:val="28"/>
          <w:szCs w:val="28"/>
        </w:rPr>
        <w:t>Title:</w:t>
      </w:r>
      <w:r w:rsidR="00FB32C0" w:rsidRPr="008D080B">
        <w:rPr>
          <w:rFonts w:eastAsia="Aptos" w:cstheme="minorHAnsi"/>
        </w:rPr>
        <w:t xml:space="preserve"> </w:t>
      </w:r>
      <w:r w:rsidR="00FB32C0" w:rsidRPr="008D080B">
        <w:rPr>
          <w:rFonts w:eastAsia="Aptos" w:cstheme="minorHAnsi"/>
          <w:sz w:val="24"/>
          <w:szCs w:val="24"/>
        </w:rPr>
        <w:t>Successful off-label use of elexacaftor/tezacaftor/ivacaftor in an infant with severe CF disease</w:t>
      </w:r>
    </w:p>
    <w:p w14:paraId="242577E5" w14:textId="4C755EC3" w:rsidR="006A7976" w:rsidRPr="008D080B" w:rsidRDefault="006A7976" w:rsidP="00C96B73">
      <w:pPr>
        <w:spacing w:after="0" w:line="240" w:lineRule="auto"/>
        <w:jc w:val="both"/>
        <w:rPr>
          <w:rFonts w:cstheme="minorHAnsi"/>
          <w:bCs/>
          <w:sz w:val="24"/>
          <w:szCs w:val="24"/>
        </w:rPr>
      </w:pPr>
    </w:p>
    <w:p w14:paraId="2C518F27" w14:textId="155DE948" w:rsidR="0098362B" w:rsidRDefault="006A7976" w:rsidP="00C96B73">
      <w:pPr>
        <w:spacing w:after="0" w:line="240" w:lineRule="auto"/>
        <w:jc w:val="both"/>
        <w:rPr>
          <w:rFonts w:eastAsia="Aptos" w:cstheme="minorHAnsi"/>
          <w:kern w:val="2"/>
          <w:sz w:val="24"/>
          <w:szCs w:val="24"/>
          <w14:ligatures w14:val="standardContextual"/>
        </w:rPr>
      </w:pPr>
      <w:r w:rsidRPr="008D080B">
        <w:rPr>
          <w:rFonts w:cstheme="minorHAnsi"/>
          <w:b/>
          <w:sz w:val="28"/>
          <w:szCs w:val="28"/>
        </w:rPr>
        <w:t>Lay Title:</w:t>
      </w:r>
      <w:r w:rsidR="00FB32C0" w:rsidRPr="008D080B">
        <w:rPr>
          <w:rFonts w:eastAsia="Aptos" w:cstheme="minorHAnsi"/>
          <w:b/>
          <w:bCs/>
          <w:kern w:val="2"/>
          <w14:ligatures w14:val="standardContextual"/>
        </w:rPr>
        <w:t xml:space="preserve"> </w:t>
      </w:r>
      <w:r w:rsidR="00FB32C0" w:rsidRPr="008D080B">
        <w:rPr>
          <w:rFonts w:eastAsia="Aptos" w:cstheme="minorHAnsi"/>
          <w:kern w:val="2"/>
          <w:sz w:val="24"/>
          <w:szCs w:val="24"/>
          <w14:ligatures w14:val="standardContextual"/>
        </w:rPr>
        <w:t>Early access to the CFTR modulator treatment helps severely ill infant with Cystic Fibrosis</w:t>
      </w:r>
    </w:p>
    <w:p w14:paraId="5D35BBEF" w14:textId="77777777" w:rsidR="008D080B" w:rsidRPr="008D080B" w:rsidRDefault="008D080B" w:rsidP="00C96B73">
      <w:pPr>
        <w:spacing w:after="0" w:line="240" w:lineRule="auto"/>
        <w:jc w:val="both"/>
        <w:rPr>
          <w:rFonts w:eastAsia="Aptos" w:cstheme="minorHAnsi"/>
          <w:kern w:val="2"/>
          <w14:ligatures w14:val="standardContextual"/>
        </w:rPr>
      </w:pPr>
    </w:p>
    <w:p w14:paraId="3FA417AB" w14:textId="521A6C9D" w:rsidR="00FB32C0" w:rsidRPr="008D080B" w:rsidRDefault="0098362B" w:rsidP="00C96B73">
      <w:pPr>
        <w:spacing w:line="360" w:lineRule="auto"/>
        <w:jc w:val="both"/>
        <w:rPr>
          <w:rFonts w:eastAsia="Calibri" w:cstheme="minorHAnsi"/>
          <w:kern w:val="2"/>
          <w14:ligatures w14:val="standardContextual"/>
        </w:rPr>
      </w:pPr>
      <w:r w:rsidRPr="008D080B">
        <w:rPr>
          <w:rFonts w:cstheme="minorHAnsi"/>
          <w:b/>
          <w:sz w:val="28"/>
          <w:szCs w:val="28"/>
        </w:rPr>
        <w:t>Authors:</w:t>
      </w:r>
      <w:r w:rsidR="008D080B">
        <w:rPr>
          <w:rFonts w:cstheme="minorHAnsi"/>
          <w:b/>
          <w:sz w:val="28"/>
          <w:szCs w:val="28"/>
        </w:rPr>
        <w:t xml:space="preserve"> </w:t>
      </w:r>
      <w:r w:rsidR="00FB32C0" w:rsidRPr="008D080B">
        <w:rPr>
          <w:rFonts w:eastAsia="Calibri" w:cstheme="minorHAnsi"/>
          <w:kern w:val="2"/>
          <w:sz w:val="24"/>
          <w:szCs w:val="24"/>
          <w14:ligatures w14:val="standardContextual"/>
        </w:rPr>
        <w:t>Paul D Robinson</w:t>
      </w:r>
      <w:r w:rsidR="00FB32C0" w:rsidRPr="008D080B">
        <w:rPr>
          <w:rFonts w:eastAsia="Calibri" w:cstheme="minorHAnsi"/>
          <w:kern w:val="2"/>
          <w:sz w:val="24"/>
          <w:szCs w:val="24"/>
          <w:vertAlign w:val="superscript"/>
          <w14:ligatures w14:val="standardContextual"/>
        </w:rPr>
        <w:t xml:space="preserve">1,2 </w:t>
      </w:r>
      <w:r w:rsidR="008D080B">
        <w:rPr>
          <w:rFonts w:eastAsia="Calibri" w:cstheme="minorHAnsi"/>
          <w:kern w:val="2"/>
          <w:sz w:val="24"/>
          <w:szCs w:val="24"/>
          <w14:ligatures w14:val="standardContextual"/>
        </w:rPr>
        <w:t>,</w:t>
      </w:r>
      <w:r w:rsidR="0026161F" w:rsidRPr="008D080B">
        <w:rPr>
          <w:rFonts w:eastAsia="Calibri" w:cstheme="minorHAnsi"/>
          <w:kern w:val="2"/>
          <w:sz w:val="24"/>
          <w:szCs w:val="24"/>
          <w14:ligatures w14:val="standardContextual"/>
        </w:rPr>
        <w:t xml:space="preserve"> </w:t>
      </w:r>
      <w:r w:rsidR="00FB32C0" w:rsidRPr="008D080B">
        <w:rPr>
          <w:rFonts w:cstheme="minorHAnsi"/>
          <w:sz w:val="24"/>
          <w:szCs w:val="24"/>
        </w:rPr>
        <w:t>Claire E Wainwright</w:t>
      </w:r>
      <w:r w:rsidR="00FB32C0" w:rsidRPr="008D080B">
        <w:rPr>
          <w:rFonts w:cstheme="minorHAnsi"/>
          <w:sz w:val="24"/>
          <w:szCs w:val="24"/>
          <w:vertAlign w:val="superscript"/>
        </w:rPr>
        <w:t>1, 2</w:t>
      </w:r>
      <w:r w:rsidR="00157437">
        <w:rPr>
          <w:rFonts w:cstheme="minorHAnsi"/>
          <w:sz w:val="24"/>
          <w:szCs w:val="24"/>
        </w:rPr>
        <w:t xml:space="preserve">, </w:t>
      </w:r>
      <w:r w:rsidR="00FB32C0" w:rsidRPr="008D080B">
        <w:rPr>
          <w:rFonts w:cstheme="minorHAnsi"/>
          <w:sz w:val="24"/>
          <w:szCs w:val="24"/>
        </w:rPr>
        <w:t>Elizabeth Shevill</w:t>
      </w:r>
      <w:r w:rsidR="00FB32C0" w:rsidRPr="008D080B">
        <w:rPr>
          <w:rFonts w:cstheme="minorHAnsi"/>
          <w:sz w:val="24"/>
          <w:szCs w:val="24"/>
          <w:vertAlign w:val="superscript"/>
        </w:rPr>
        <w:t xml:space="preserve">1        </w:t>
      </w:r>
    </w:p>
    <w:p w14:paraId="569864E8" w14:textId="77777777" w:rsidR="00157437" w:rsidRDefault="0098362B" w:rsidP="00C96B73">
      <w:pPr>
        <w:autoSpaceDE w:val="0"/>
        <w:autoSpaceDN w:val="0"/>
        <w:adjustRightInd w:val="0"/>
        <w:spacing w:after="0" w:line="240" w:lineRule="auto"/>
        <w:jc w:val="both"/>
        <w:rPr>
          <w:rFonts w:eastAsia="Calibri" w:cstheme="minorHAnsi"/>
          <w:bCs/>
          <w:color w:val="000000"/>
          <w:kern w:val="2"/>
          <w:vertAlign w:val="superscript"/>
          <w:lang w:val="en-NZ" w:eastAsia="en-NZ"/>
          <w14:ligatures w14:val="standardContextual"/>
        </w:rPr>
      </w:pPr>
      <w:r w:rsidRPr="008D080B">
        <w:rPr>
          <w:rFonts w:cstheme="minorHAnsi"/>
          <w:b/>
          <w:sz w:val="28"/>
          <w:szCs w:val="28"/>
        </w:rPr>
        <w:t>Affiliations:</w:t>
      </w:r>
      <w:r w:rsidR="00FB32C0" w:rsidRPr="008D080B">
        <w:rPr>
          <w:rFonts w:eastAsia="Calibri" w:cstheme="minorHAnsi"/>
          <w:bCs/>
          <w:color w:val="000000"/>
          <w:kern w:val="2"/>
          <w:vertAlign w:val="superscript"/>
          <w:lang w:val="en-NZ" w:eastAsia="en-NZ"/>
          <w14:ligatures w14:val="standardContextual"/>
        </w:rPr>
        <w:t xml:space="preserve"> </w:t>
      </w:r>
    </w:p>
    <w:p w14:paraId="48F1A2DC" w14:textId="52081EFE" w:rsidR="00FB32C0" w:rsidRPr="008D080B" w:rsidRDefault="00FB32C0" w:rsidP="00C96B73">
      <w:pPr>
        <w:autoSpaceDE w:val="0"/>
        <w:autoSpaceDN w:val="0"/>
        <w:adjustRightInd w:val="0"/>
        <w:spacing w:after="0" w:line="240" w:lineRule="auto"/>
        <w:jc w:val="both"/>
        <w:rPr>
          <w:rFonts w:eastAsia="Calibri" w:cstheme="minorHAnsi"/>
          <w:bCs/>
          <w:color w:val="000000"/>
          <w:kern w:val="2"/>
          <w:lang w:val="en-NZ" w:eastAsia="en-NZ"/>
          <w14:ligatures w14:val="standardContextual"/>
        </w:rPr>
      </w:pPr>
      <w:r w:rsidRPr="008D080B">
        <w:rPr>
          <w:rFonts w:eastAsia="Calibri" w:cstheme="minorHAnsi"/>
          <w:bCs/>
          <w:color w:val="000000"/>
          <w:kern w:val="2"/>
          <w:vertAlign w:val="superscript"/>
          <w:lang w:val="en-NZ" w:eastAsia="en-NZ"/>
          <w14:ligatures w14:val="standardContextual"/>
        </w:rPr>
        <w:t>1</w:t>
      </w:r>
      <w:r w:rsidR="00157437">
        <w:rPr>
          <w:rFonts w:eastAsia="Calibri" w:cstheme="minorHAnsi"/>
          <w:bCs/>
          <w:color w:val="000000"/>
          <w:kern w:val="2"/>
          <w:vertAlign w:val="superscript"/>
          <w:lang w:val="en-NZ" w:eastAsia="en-NZ"/>
          <w14:ligatures w14:val="standardContextual"/>
        </w:rPr>
        <w:t xml:space="preserve"> </w:t>
      </w:r>
      <w:r w:rsidRPr="008D080B">
        <w:rPr>
          <w:rFonts w:eastAsia="Calibri" w:cstheme="minorHAnsi"/>
          <w:bCs/>
          <w:color w:val="000000"/>
          <w:kern w:val="2"/>
          <w:lang w:val="en-NZ" w:eastAsia="en-NZ"/>
          <w14:ligatures w14:val="standardContextual"/>
        </w:rPr>
        <w:t>Department of Respiratory Medicine, Queensland Children’s Hospital (QCH), Brisbane, Queensland, Australia.</w:t>
      </w:r>
    </w:p>
    <w:p w14:paraId="3ECDA763" w14:textId="61B59057" w:rsidR="0098362B" w:rsidRDefault="00FB32C0" w:rsidP="00C96B73">
      <w:pPr>
        <w:spacing w:after="0" w:line="240" w:lineRule="auto"/>
        <w:jc w:val="both"/>
        <w:rPr>
          <w:rFonts w:eastAsia="Calibri" w:cstheme="minorHAnsi"/>
          <w:color w:val="000000"/>
          <w:kern w:val="2"/>
          <w:lang w:eastAsia="en-NZ"/>
          <w14:ligatures w14:val="standardContextual"/>
        </w:rPr>
      </w:pPr>
      <w:r w:rsidRPr="008D080B">
        <w:rPr>
          <w:rFonts w:eastAsia="Calibri" w:cstheme="minorHAnsi"/>
          <w:color w:val="000000"/>
          <w:kern w:val="2"/>
          <w:vertAlign w:val="superscript"/>
          <w:lang w:val="en-NZ" w:eastAsia="en-NZ"/>
          <w14:ligatures w14:val="standardContextual"/>
        </w:rPr>
        <w:t>2</w:t>
      </w:r>
      <w:r w:rsidR="00157437">
        <w:rPr>
          <w:rFonts w:eastAsia="Calibri" w:cstheme="minorHAnsi"/>
          <w:color w:val="000000"/>
          <w:kern w:val="2"/>
          <w:vertAlign w:val="superscript"/>
          <w:lang w:val="en-NZ" w:eastAsia="en-NZ"/>
          <w14:ligatures w14:val="standardContextual"/>
        </w:rPr>
        <w:t xml:space="preserve"> </w:t>
      </w:r>
      <w:r w:rsidRPr="008D080B">
        <w:rPr>
          <w:rFonts w:eastAsia="Calibri" w:cstheme="minorHAnsi"/>
          <w:color w:val="000000"/>
          <w:kern w:val="2"/>
          <w:lang w:eastAsia="en-NZ"/>
          <w14:ligatures w14:val="standardContextual"/>
        </w:rPr>
        <w:t>Child Health Research Centre, University of Queensland, Queensland, Australia</w:t>
      </w:r>
    </w:p>
    <w:p w14:paraId="02767BA7" w14:textId="77777777" w:rsidR="00157437" w:rsidRPr="00157437" w:rsidRDefault="00157437" w:rsidP="00C96B73">
      <w:pPr>
        <w:spacing w:after="0" w:line="240" w:lineRule="auto"/>
        <w:jc w:val="both"/>
        <w:rPr>
          <w:rFonts w:eastAsia="Calibri" w:cstheme="minorHAnsi"/>
          <w:color w:val="000000"/>
          <w:kern w:val="2"/>
          <w:sz w:val="24"/>
          <w:szCs w:val="24"/>
          <w:lang w:val="en-NZ" w:eastAsia="en-NZ"/>
          <w14:ligatures w14:val="standardContextual"/>
        </w:rPr>
      </w:pPr>
    </w:p>
    <w:p w14:paraId="7A933B5F" w14:textId="46185DAE" w:rsidR="00325F94" w:rsidRPr="00157437" w:rsidRDefault="0098362B" w:rsidP="00C96B73">
      <w:pPr>
        <w:spacing w:after="0" w:line="240" w:lineRule="auto"/>
        <w:jc w:val="both"/>
        <w:rPr>
          <w:rFonts w:cstheme="minorHAnsi"/>
          <w:b/>
          <w:sz w:val="28"/>
          <w:szCs w:val="28"/>
        </w:rPr>
      </w:pPr>
      <w:r w:rsidRPr="008D080B">
        <w:rPr>
          <w:rFonts w:cstheme="minorHAnsi"/>
          <w:b/>
          <w:sz w:val="28"/>
          <w:szCs w:val="28"/>
        </w:rPr>
        <w:t>What was your research question?</w:t>
      </w:r>
      <w:r w:rsidR="00540382" w:rsidRPr="008D080B">
        <w:rPr>
          <w:rFonts w:cstheme="minorHAnsi"/>
          <w:b/>
          <w:sz w:val="28"/>
          <w:szCs w:val="28"/>
        </w:rPr>
        <w:t xml:space="preserve"> </w:t>
      </w:r>
    </w:p>
    <w:p w14:paraId="484A11C2" w14:textId="022DFA0B" w:rsidR="0026161F" w:rsidRPr="00157437" w:rsidRDefault="00FB32C0" w:rsidP="00C96B73">
      <w:pPr>
        <w:spacing w:after="0" w:line="240" w:lineRule="auto"/>
        <w:jc w:val="both"/>
        <w:rPr>
          <w:rFonts w:cstheme="minorHAnsi"/>
          <w:bCs/>
          <w:iCs/>
          <w:sz w:val="24"/>
          <w:szCs w:val="24"/>
        </w:rPr>
      </w:pPr>
      <w:r w:rsidRPr="00157437">
        <w:rPr>
          <w:rFonts w:cstheme="minorHAnsi"/>
          <w:bCs/>
          <w:iCs/>
          <w:sz w:val="24"/>
          <w:szCs w:val="24"/>
        </w:rPr>
        <w:t xml:space="preserve">Case report </w:t>
      </w:r>
      <w:r w:rsidR="00325F94" w:rsidRPr="00157437">
        <w:rPr>
          <w:rFonts w:cstheme="minorHAnsi"/>
          <w:bCs/>
          <w:iCs/>
          <w:sz w:val="24"/>
          <w:szCs w:val="24"/>
        </w:rPr>
        <w:t>of elexacaftor</w:t>
      </w:r>
      <w:r w:rsidR="0026161F" w:rsidRPr="00157437">
        <w:rPr>
          <w:rFonts w:cstheme="minorHAnsi"/>
          <w:bCs/>
          <w:iCs/>
          <w:sz w:val="24"/>
          <w:szCs w:val="24"/>
        </w:rPr>
        <w:t xml:space="preserve">/tezacaftor/ivacaftor in a young infant. Recently, many patients with Cystic Fibrosis (CF) have had access to powerful new medications called CFTR modulators. These drugs work by helping the faulty protein in CF function better. Different countries have different access based on their health systems. </w:t>
      </w:r>
    </w:p>
    <w:p w14:paraId="4AB59C81" w14:textId="77777777" w:rsidR="0098362B" w:rsidRPr="00157437" w:rsidRDefault="0098362B" w:rsidP="00C96B73">
      <w:pPr>
        <w:spacing w:after="0" w:line="240" w:lineRule="auto"/>
        <w:jc w:val="both"/>
        <w:rPr>
          <w:rFonts w:cstheme="minorHAnsi"/>
          <w:bCs/>
          <w:iCs/>
          <w:sz w:val="24"/>
          <w:szCs w:val="24"/>
        </w:rPr>
      </w:pPr>
    </w:p>
    <w:p w14:paraId="6B444375" w14:textId="77777777" w:rsidR="0026161F" w:rsidRPr="008D080B" w:rsidRDefault="0098362B" w:rsidP="00C96B73">
      <w:pPr>
        <w:spacing w:after="0" w:line="240" w:lineRule="auto"/>
        <w:jc w:val="both"/>
        <w:rPr>
          <w:rFonts w:cstheme="minorHAnsi"/>
          <w:b/>
          <w:sz w:val="28"/>
          <w:szCs w:val="28"/>
        </w:rPr>
      </w:pPr>
      <w:r w:rsidRPr="008D080B">
        <w:rPr>
          <w:rFonts w:cstheme="minorHAnsi"/>
          <w:b/>
          <w:sz w:val="28"/>
          <w:szCs w:val="28"/>
        </w:rPr>
        <w:t>Why is this important?</w:t>
      </w:r>
      <w:r w:rsidR="00540382" w:rsidRPr="008D080B">
        <w:rPr>
          <w:rFonts w:cstheme="minorHAnsi"/>
          <w:b/>
          <w:sz w:val="28"/>
          <w:szCs w:val="28"/>
        </w:rPr>
        <w:t xml:space="preserve"> </w:t>
      </w:r>
    </w:p>
    <w:p w14:paraId="27C67E62" w14:textId="38DE23D4" w:rsidR="0026161F" w:rsidRPr="00A7237E" w:rsidRDefault="0026161F" w:rsidP="00C96B73">
      <w:pPr>
        <w:spacing w:after="0" w:line="240" w:lineRule="auto"/>
        <w:jc w:val="both"/>
        <w:rPr>
          <w:rFonts w:cstheme="minorHAnsi"/>
          <w:bCs/>
          <w:iCs/>
          <w:sz w:val="24"/>
          <w:szCs w:val="24"/>
        </w:rPr>
      </w:pPr>
      <w:r w:rsidRPr="00A7237E">
        <w:rPr>
          <w:rFonts w:cstheme="minorHAnsi"/>
          <w:bCs/>
          <w:iCs/>
          <w:sz w:val="24"/>
          <w:szCs w:val="24"/>
        </w:rPr>
        <w:t>One of the most widely used CFTR modulators is a combination of three drugs elexacaftor/ tezacaftor/ivacaftor (ETI) with the trade name of “</w:t>
      </w:r>
      <w:proofErr w:type="spellStart"/>
      <w:r w:rsidRPr="00A7237E">
        <w:rPr>
          <w:rFonts w:cstheme="minorHAnsi"/>
          <w:bCs/>
          <w:iCs/>
          <w:sz w:val="24"/>
          <w:szCs w:val="24"/>
        </w:rPr>
        <w:t>Trikaftor</w:t>
      </w:r>
      <w:proofErr w:type="spellEnd"/>
      <w:r w:rsidRPr="00A7237E">
        <w:rPr>
          <w:rFonts w:cstheme="minorHAnsi"/>
          <w:bCs/>
          <w:iCs/>
          <w:sz w:val="24"/>
          <w:szCs w:val="24"/>
        </w:rPr>
        <w:t>®”. Currently, ETI is only approved for older children and adults. Infants cannot access this potentially life-saving treatment through normal channels, even when they're desperately sick as the trials have not been completed yet.</w:t>
      </w:r>
    </w:p>
    <w:p w14:paraId="5B08D8BD" w14:textId="77777777" w:rsidR="0098362B" w:rsidRPr="0052149F" w:rsidRDefault="0098362B" w:rsidP="00C96B73">
      <w:pPr>
        <w:spacing w:after="0" w:line="240" w:lineRule="auto"/>
        <w:jc w:val="both"/>
        <w:rPr>
          <w:rFonts w:cstheme="minorHAnsi"/>
          <w:b/>
          <w:sz w:val="24"/>
          <w:szCs w:val="24"/>
        </w:rPr>
      </w:pPr>
    </w:p>
    <w:p w14:paraId="38402094" w14:textId="148355B3" w:rsidR="00325F94" w:rsidRPr="0052149F" w:rsidRDefault="0098362B" w:rsidP="00C96B73">
      <w:pPr>
        <w:spacing w:after="0" w:line="240" w:lineRule="auto"/>
        <w:jc w:val="both"/>
        <w:rPr>
          <w:rFonts w:cstheme="minorHAnsi"/>
          <w:b/>
          <w:sz w:val="28"/>
          <w:szCs w:val="28"/>
        </w:rPr>
      </w:pPr>
      <w:r w:rsidRPr="008D080B">
        <w:rPr>
          <w:rFonts w:cstheme="minorHAnsi"/>
          <w:b/>
          <w:sz w:val="28"/>
          <w:szCs w:val="28"/>
        </w:rPr>
        <w:t>What did you do?</w:t>
      </w:r>
      <w:r w:rsidR="00540382" w:rsidRPr="008D080B">
        <w:rPr>
          <w:rFonts w:cstheme="minorHAnsi"/>
          <w:b/>
          <w:sz w:val="28"/>
          <w:szCs w:val="28"/>
        </w:rPr>
        <w:t xml:space="preserve"> </w:t>
      </w:r>
    </w:p>
    <w:p w14:paraId="02C5812C" w14:textId="5E95EA08" w:rsidR="0026161F" w:rsidRPr="0052149F" w:rsidRDefault="0026161F" w:rsidP="00C96B73">
      <w:pPr>
        <w:spacing w:after="0" w:line="240" w:lineRule="auto"/>
        <w:jc w:val="both"/>
        <w:rPr>
          <w:rFonts w:cstheme="minorHAnsi"/>
          <w:bCs/>
          <w:iCs/>
          <w:sz w:val="24"/>
          <w:szCs w:val="24"/>
        </w:rPr>
      </w:pPr>
      <w:r w:rsidRPr="0052149F">
        <w:rPr>
          <w:rFonts w:cstheme="minorHAnsi"/>
          <w:bCs/>
          <w:iCs/>
          <w:sz w:val="24"/>
          <w:szCs w:val="24"/>
        </w:rPr>
        <w:t>This case discusses an infant girl with CF whose condition was far more severe than typical for her age. Her first year of life was dominated by hospital stays - seven admissions totalling 110 days in the hospital. Despite receiving a government-funded approved CFTR modulator medication (lumacaftor/ivacaftor) at 12 months old, her health continued to decline.</w:t>
      </w:r>
    </w:p>
    <w:p w14:paraId="6DF921CA" w14:textId="77777777" w:rsidR="0026161F" w:rsidRPr="008D080B" w:rsidRDefault="0026161F" w:rsidP="00C96B73">
      <w:pPr>
        <w:spacing w:after="0" w:line="240" w:lineRule="auto"/>
        <w:jc w:val="both"/>
        <w:rPr>
          <w:rFonts w:cstheme="minorHAnsi"/>
          <w:bCs/>
          <w:iCs/>
          <w:sz w:val="28"/>
          <w:szCs w:val="28"/>
        </w:rPr>
      </w:pPr>
      <w:r w:rsidRPr="0052149F">
        <w:rPr>
          <w:rFonts w:cstheme="minorHAnsi"/>
          <w:bCs/>
          <w:iCs/>
          <w:sz w:val="24"/>
          <w:szCs w:val="24"/>
        </w:rPr>
        <w:t>By 14 months, she had severe lung disease and ongoing significant nutritional problems. Her doctors had tried everything available to them for her age group, but nothing was working effectively</w:t>
      </w:r>
      <w:r w:rsidRPr="008D080B">
        <w:rPr>
          <w:rFonts w:cstheme="minorHAnsi"/>
          <w:bCs/>
          <w:iCs/>
          <w:sz w:val="28"/>
          <w:szCs w:val="28"/>
        </w:rPr>
        <w:t>.</w:t>
      </w:r>
    </w:p>
    <w:p w14:paraId="3EE415B9" w14:textId="0992340E" w:rsidR="0098362B" w:rsidRPr="0052149F" w:rsidRDefault="0098362B" w:rsidP="00C96B73">
      <w:pPr>
        <w:spacing w:after="0" w:line="240" w:lineRule="auto"/>
        <w:jc w:val="both"/>
        <w:rPr>
          <w:rFonts w:cstheme="minorHAnsi"/>
          <w:bCs/>
          <w:sz w:val="24"/>
          <w:szCs w:val="24"/>
        </w:rPr>
      </w:pPr>
    </w:p>
    <w:p w14:paraId="7ACAEF97" w14:textId="6D0059D3" w:rsidR="00325F94" w:rsidRPr="0052149F" w:rsidRDefault="0098362B" w:rsidP="00C96B73">
      <w:pPr>
        <w:spacing w:after="0" w:line="240" w:lineRule="auto"/>
        <w:jc w:val="both"/>
        <w:rPr>
          <w:rFonts w:cstheme="minorHAnsi"/>
          <w:b/>
          <w:sz w:val="28"/>
          <w:szCs w:val="28"/>
        </w:rPr>
      </w:pPr>
      <w:r w:rsidRPr="008D080B">
        <w:rPr>
          <w:rFonts w:cstheme="minorHAnsi"/>
          <w:b/>
          <w:sz w:val="28"/>
          <w:szCs w:val="28"/>
        </w:rPr>
        <w:lastRenderedPageBreak/>
        <w:t>What did you fi</w:t>
      </w:r>
      <w:r w:rsidR="0026161F" w:rsidRPr="008D080B">
        <w:rPr>
          <w:rFonts w:cstheme="minorHAnsi"/>
          <w:b/>
          <w:sz w:val="28"/>
          <w:szCs w:val="28"/>
        </w:rPr>
        <w:t>nd?</w:t>
      </w:r>
    </w:p>
    <w:p w14:paraId="34E47290" w14:textId="3CF414B3" w:rsidR="0026161F" w:rsidRPr="0052149F" w:rsidRDefault="0026161F" w:rsidP="00C96B73">
      <w:pPr>
        <w:spacing w:after="0" w:line="240" w:lineRule="auto"/>
        <w:jc w:val="both"/>
        <w:rPr>
          <w:rFonts w:cstheme="minorHAnsi"/>
          <w:bCs/>
          <w:iCs/>
          <w:sz w:val="24"/>
          <w:szCs w:val="24"/>
        </w:rPr>
      </w:pPr>
      <w:r w:rsidRPr="0052149F">
        <w:rPr>
          <w:rFonts w:cstheme="minorHAnsi"/>
          <w:bCs/>
          <w:iCs/>
          <w:sz w:val="24"/>
          <w:szCs w:val="24"/>
        </w:rPr>
        <w:t>Faced with this dire situation, the medical team - after extensive discussions involving multiple specialists, hospital administrators, and ethics experts – decided, with the consent of the parents, to provide ETI treatment "off-label" (meaning outside its approved age range). The health team estimated a dosage based on weight and the dose form that was currently available. The results were remarkable. After starting ETI:</w:t>
      </w:r>
    </w:p>
    <w:p w14:paraId="3B0BD65B" w14:textId="77777777" w:rsidR="0026161F" w:rsidRPr="0052149F" w:rsidRDefault="0026161F" w:rsidP="00C96B73">
      <w:pPr>
        <w:numPr>
          <w:ilvl w:val="0"/>
          <w:numId w:val="1"/>
        </w:numPr>
        <w:spacing w:after="0" w:line="240" w:lineRule="auto"/>
        <w:jc w:val="both"/>
        <w:rPr>
          <w:rFonts w:cstheme="minorHAnsi"/>
          <w:bCs/>
          <w:iCs/>
          <w:sz w:val="24"/>
          <w:szCs w:val="24"/>
        </w:rPr>
      </w:pPr>
      <w:r w:rsidRPr="0052149F">
        <w:rPr>
          <w:rFonts w:cstheme="minorHAnsi"/>
          <w:bCs/>
          <w:iCs/>
          <w:sz w:val="24"/>
          <w:szCs w:val="24"/>
        </w:rPr>
        <w:t>Her overall health improved significantly</w:t>
      </w:r>
    </w:p>
    <w:p w14:paraId="502B24F1" w14:textId="77777777" w:rsidR="0026161F" w:rsidRPr="0052149F" w:rsidRDefault="0026161F" w:rsidP="00C96B73">
      <w:pPr>
        <w:numPr>
          <w:ilvl w:val="0"/>
          <w:numId w:val="1"/>
        </w:numPr>
        <w:spacing w:after="0" w:line="240" w:lineRule="auto"/>
        <w:jc w:val="both"/>
        <w:rPr>
          <w:rFonts w:cstheme="minorHAnsi"/>
          <w:bCs/>
          <w:iCs/>
          <w:sz w:val="24"/>
          <w:szCs w:val="24"/>
        </w:rPr>
      </w:pPr>
      <w:r w:rsidRPr="0052149F">
        <w:rPr>
          <w:rFonts w:cstheme="minorHAnsi"/>
          <w:bCs/>
          <w:iCs/>
          <w:sz w:val="24"/>
          <w:szCs w:val="24"/>
        </w:rPr>
        <w:t>A key diagnostic test (sweat chloride) returned to normal levels</w:t>
      </w:r>
    </w:p>
    <w:p w14:paraId="2235211F" w14:textId="77777777" w:rsidR="0026161F" w:rsidRPr="0052149F" w:rsidRDefault="0026161F" w:rsidP="00C96B73">
      <w:pPr>
        <w:numPr>
          <w:ilvl w:val="0"/>
          <w:numId w:val="1"/>
        </w:numPr>
        <w:spacing w:after="0" w:line="240" w:lineRule="auto"/>
        <w:jc w:val="both"/>
        <w:rPr>
          <w:rFonts w:cstheme="minorHAnsi"/>
          <w:bCs/>
          <w:iCs/>
          <w:sz w:val="24"/>
          <w:szCs w:val="24"/>
        </w:rPr>
      </w:pPr>
      <w:r w:rsidRPr="0052149F">
        <w:rPr>
          <w:rFonts w:cstheme="minorHAnsi"/>
          <w:bCs/>
          <w:iCs/>
          <w:sz w:val="24"/>
          <w:szCs w:val="24"/>
        </w:rPr>
        <w:t>She began gaining weight and growing properly</w:t>
      </w:r>
    </w:p>
    <w:p w14:paraId="6B44677E" w14:textId="77777777" w:rsidR="0026161F" w:rsidRPr="0052149F" w:rsidRDefault="0026161F" w:rsidP="00C96B73">
      <w:pPr>
        <w:numPr>
          <w:ilvl w:val="0"/>
          <w:numId w:val="1"/>
        </w:numPr>
        <w:spacing w:after="0" w:line="240" w:lineRule="auto"/>
        <w:jc w:val="both"/>
        <w:rPr>
          <w:rFonts w:cstheme="minorHAnsi"/>
          <w:bCs/>
          <w:iCs/>
          <w:sz w:val="24"/>
          <w:szCs w:val="24"/>
        </w:rPr>
      </w:pPr>
      <w:r w:rsidRPr="0052149F">
        <w:rPr>
          <w:rFonts w:cstheme="minorHAnsi"/>
          <w:bCs/>
          <w:iCs/>
          <w:sz w:val="24"/>
          <w:szCs w:val="24"/>
        </w:rPr>
        <w:t>She hasn't needed any hospital admissions since starting the treatment</w:t>
      </w:r>
    </w:p>
    <w:p w14:paraId="6FD16F68" w14:textId="2D91BF1F" w:rsidR="0098362B" w:rsidRPr="0052149F" w:rsidRDefault="0098362B" w:rsidP="00C96B73">
      <w:pPr>
        <w:spacing w:after="0" w:line="240" w:lineRule="auto"/>
        <w:jc w:val="both"/>
        <w:rPr>
          <w:rFonts w:cstheme="minorHAnsi"/>
          <w:bCs/>
          <w:iCs/>
          <w:sz w:val="24"/>
          <w:szCs w:val="24"/>
        </w:rPr>
      </w:pPr>
    </w:p>
    <w:p w14:paraId="4BF4891D" w14:textId="395FB7FF" w:rsidR="00325F94" w:rsidRPr="0052149F" w:rsidRDefault="0098362B" w:rsidP="00C96B73">
      <w:pPr>
        <w:spacing w:after="0" w:line="240" w:lineRule="auto"/>
        <w:jc w:val="both"/>
        <w:rPr>
          <w:rFonts w:cstheme="minorHAnsi"/>
          <w:b/>
          <w:sz w:val="28"/>
          <w:szCs w:val="28"/>
        </w:rPr>
      </w:pPr>
      <w:r w:rsidRPr="008D080B">
        <w:rPr>
          <w:rFonts w:cstheme="minorHAnsi"/>
          <w:b/>
          <w:sz w:val="28"/>
          <w:szCs w:val="28"/>
        </w:rPr>
        <w:t>What does this mean and reasons for caution?</w:t>
      </w:r>
      <w:r w:rsidR="00540382" w:rsidRPr="008D080B">
        <w:rPr>
          <w:rFonts w:cstheme="minorHAnsi"/>
          <w:b/>
          <w:sz w:val="28"/>
          <w:szCs w:val="28"/>
        </w:rPr>
        <w:t xml:space="preserve"> </w:t>
      </w:r>
    </w:p>
    <w:p w14:paraId="54A0EFC5" w14:textId="28228A6E" w:rsidR="00325F94" w:rsidRPr="0052149F" w:rsidRDefault="00325F94" w:rsidP="00C96B73">
      <w:pPr>
        <w:spacing w:after="0" w:line="240" w:lineRule="auto"/>
        <w:jc w:val="both"/>
        <w:rPr>
          <w:rFonts w:cstheme="minorHAnsi"/>
          <w:bCs/>
          <w:iCs/>
          <w:sz w:val="24"/>
          <w:szCs w:val="24"/>
        </w:rPr>
      </w:pPr>
      <w:r w:rsidRPr="0052149F">
        <w:rPr>
          <w:rFonts w:cstheme="minorHAnsi"/>
          <w:bCs/>
          <w:iCs/>
          <w:sz w:val="24"/>
          <w:szCs w:val="24"/>
        </w:rPr>
        <w:t>This case demonstrates that ETI was helpful for this child with severe CF, however, one successful case isn't enough to change medical practice. This case emphasizes the critical need for formal clinical trials in infants to properly evaluate both the benefits and potential risks of ETI in this age</w:t>
      </w:r>
      <w:r w:rsidRPr="0052149F">
        <w:rPr>
          <w:rFonts w:cstheme="minorHAnsi"/>
          <w:b/>
          <w:i/>
          <w:sz w:val="24"/>
          <w:szCs w:val="24"/>
        </w:rPr>
        <w:t xml:space="preserve"> </w:t>
      </w:r>
      <w:r w:rsidRPr="0052149F">
        <w:rPr>
          <w:rFonts w:cstheme="minorHAnsi"/>
          <w:bCs/>
          <w:iCs/>
          <w:sz w:val="24"/>
          <w:szCs w:val="24"/>
        </w:rPr>
        <w:t>group. This case also demonstrates the importance of conducting off label use very carefully with multidisciplinary support and consideration of ethical issues and informed consent. Clinical trials will provide the evidence needed to make this treatment routinely available to the youngest CF patients who might benefit from it</w:t>
      </w:r>
      <w:r w:rsidR="0052149F">
        <w:rPr>
          <w:rFonts w:cstheme="minorHAnsi"/>
          <w:bCs/>
          <w:iCs/>
          <w:sz w:val="24"/>
          <w:szCs w:val="24"/>
        </w:rPr>
        <w:t>.</w:t>
      </w:r>
    </w:p>
    <w:p w14:paraId="6B52BD1B" w14:textId="77777777" w:rsidR="0098362B" w:rsidRPr="0052149F" w:rsidRDefault="0098362B" w:rsidP="00C96B73">
      <w:pPr>
        <w:spacing w:after="0" w:line="240" w:lineRule="auto"/>
        <w:jc w:val="both"/>
        <w:rPr>
          <w:rFonts w:cstheme="minorHAnsi"/>
          <w:b/>
          <w:sz w:val="24"/>
          <w:szCs w:val="24"/>
        </w:rPr>
      </w:pPr>
    </w:p>
    <w:p w14:paraId="635AB057" w14:textId="302477D7" w:rsidR="00540382" w:rsidRPr="008D080B" w:rsidRDefault="0098362B" w:rsidP="00C96B73">
      <w:pPr>
        <w:spacing w:after="0" w:line="240" w:lineRule="auto"/>
        <w:jc w:val="both"/>
        <w:rPr>
          <w:rFonts w:cstheme="minorHAnsi"/>
          <w:b/>
          <w:sz w:val="28"/>
          <w:szCs w:val="28"/>
        </w:rPr>
      </w:pPr>
      <w:r w:rsidRPr="008D080B">
        <w:rPr>
          <w:rFonts w:cstheme="minorHAnsi"/>
          <w:b/>
          <w:sz w:val="28"/>
          <w:szCs w:val="28"/>
        </w:rPr>
        <w:t>What’s next?</w:t>
      </w:r>
      <w:r w:rsidR="00540382" w:rsidRPr="008D080B">
        <w:rPr>
          <w:rFonts w:cstheme="minorHAnsi"/>
          <w:b/>
          <w:sz w:val="28"/>
          <w:szCs w:val="28"/>
        </w:rPr>
        <w:t xml:space="preserve"> </w:t>
      </w:r>
    </w:p>
    <w:p w14:paraId="0252FDCE" w14:textId="567944B4" w:rsidR="00325F94" w:rsidRPr="0052149F" w:rsidRDefault="00325F94" w:rsidP="00C96B73">
      <w:pPr>
        <w:jc w:val="both"/>
        <w:rPr>
          <w:rFonts w:cstheme="minorHAnsi"/>
          <w:bCs/>
          <w:sz w:val="24"/>
          <w:szCs w:val="24"/>
        </w:rPr>
      </w:pPr>
      <w:r w:rsidRPr="0052149F">
        <w:rPr>
          <w:rFonts w:cstheme="minorHAnsi"/>
          <w:bCs/>
          <w:sz w:val="24"/>
          <w:szCs w:val="24"/>
        </w:rPr>
        <w:t>This breakthrough offers hope for medical teams and families dealing with severe CF in very young children, while highlighting the importance of carefully conducted research to ensure new treatments are both safe and effective across all age groups.</w:t>
      </w:r>
    </w:p>
    <w:p w14:paraId="13750D09" w14:textId="77777777" w:rsidR="00124D3F" w:rsidRPr="0002300F" w:rsidRDefault="00124D3F" w:rsidP="00C96B73">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2F167295" w14:textId="49902BF8" w:rsidR="000A5883" w:rsidRDefault="00C96B73" w:rsidP="00C96B73">
      <w:pPr>
        <w:jc w:val="both"/>
        <w:rPr>
          <w:rFonts w:cstheme="minorHAnsi"/>
          <w:bCs/>
          <w:sz w:val="24"/>
          <w:szCs w:val="24"/>
        </w:rPr>
      </w:pPr>
      <w:hyperlink r:id="rId10" w:history="1">
        <w:r w:rsidRPr="00095C18">
          <w:rPr>
            <w:rStyle w:val="Hyperlink"/>
            <w:sz w:val="24"/>
            <w:szCs w:val="24"/>
          </w:rPr>
          <w:t>https://pubmed.ncbi.nlm.nih.gov/40829988</w:t>
        </w:r>
        <w:r w:rsidRPr="00095C18">
          <w:rPr>
            <w:rStyle w:val="Hyperlink"/>
            <w:sz w:val="24"/>
            <w:szCs w:val="24"/>
          </w:rPr>
          <w:t>/</w:t>
        </w:r>
      </w:hyperlink>
    </w:p>
    <w:p w14:paraId="796C6960" w14:textId="77777777" w:rsidR="000A5883" w:rsidRDefault="000A5883" w:rsidP="00C96B73">
      <w:pPr>
        <w:jc w:val="both"/>
        <w:rPr>
          <w:rFonts w:cstheme="minorHAnsi"/>
          <w:bCs/>
          <w:sz w:val="24"/>
          <w:szCs w:val="24"/>
        </w:rPr>
      </w:pPr>
    </w:p>
    <w:p w14:paraId="728CBC01" w14:textId="77777777" w:rsidR="000A5883" w:rsidRPr="000A5883" w:rsidRDefault="000A5883" w:rsidP="00C96B73">
      <w:pPr>
        <w:jc w:val="both"/>
        <w:rPr>
          <w:rFonts w:cstheme="minorHAnsi"/>
          <w:bCs/>
          <w:sz w:val="24"/>
          <w:szCs w:val="24"/>
        </w:rPr>
      </w:pPr>
    </w:p>
    <w:p w14:paraId="436534A1" w14:textId="77777777" w:rsidR="000A5883" w:rsidRPr="008D080B" w:rsidRDefault="000A5883" w:rsidP="00C96B73">
      <w:pPr>
        <w:jc w:val="both"/>
        <w:rPr>
          <w:rFonts w:cstheme="minorHAnsi"/>
          <w:bCs/>
          <w:sz w:val="28"/>
          <w:szCs w:val="28"/>
        </w:rPr>
      </w:pPr>
    </w:p>
    <w:sectPr w:rsidR="000A5883" w:rsidRPr="008D08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D661A" w14:textId="77777777" w:rsidR="00F33FC8" w:rsidRDefault="00F33FC8" w:rsidP="008B1278">
      <w:pPr>
        <w:spacing w:after="0" w:line="240" w:lineRule="auto"/>
      </w:pPr>
      <w:r>
        <w:separator/>
      </w:r>
    </w:p>
  </w:endnote>
  <w:endnote w:type="continuationSeparator" w:id="0">
    <w:p w14:paraId="36E449DD" w14:textId="77777777" w:rsidR="00F33FC8" w:rsidRDefault="00F33FC8"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B0AB" w14:textId="77777777" w:rsidR="00F33FC8" w:rsidRDefault="00F33FC8" w:rsidP="008B1278">
      <w:pPr>
        <w:spacing w:after="0" w:line="240" w:lineRule="auto"/>
      </w:pPr>
      <w:r>
        <w:separator/>
      </w:r>
    </w:p>
  </w:footnote>
  <w:footnote w:type="continuationSeparator" w:id="0">
    <w:p w14:paraId="2517E16F" w14:textId="77777777" w:rsidR="00F33FC8" w:rsidRDefault="00F33FC8"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3E6B"/>
    <w:multiLevelType w:val="multilevel"/>
    <w:tmpl w:val="A1141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2776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55064"/>
    <w:rsid w:val="00062865"/>
    <w:rsid w:val="000A5883"/>
    <w:rsid w:val="000C23AC"/>
    <w:rsid w:val="00124D3F"/>
    <w:rsid w:val="00156404"/>
    <w:rsid w:val="00157437"/>
    <w:rsid w:val="00257E89"/>
    <w:rsid w:val="0026161F"/>
    <w:rsid w:val="00325F94"/>
    <w:rsid w:val="0049290B"/>
    <w:rsid w:val="004F24D9"/>
    <w:rsid w:val="0052149F"/>
    <w:rsid w:val="00540382"/>
    <w:rsid w:val="006178BB"/>
    <w:rsid w:val="006A7976"/>
    <w:rsid w:val="00700123"/>
    <w:rsid w:val="00717EB1"/>
    <w:rsid w:val="007C34C3"/>
    <w:rsid w:val="008A2737"/>
    <w:rsid w:val="008B1278"/>
    <w:rsid w:val="008D080B"/>
    <w:rsid w:val="0098362B"/>
    <w:rsid w:val="009B7CC4"/>
    <w:rsid w:val="009F36C6"/>
    <w:rsid w:val="00A7237E"/>
    <w:rsid w:val="00BA2885"/>
    <w:rsid w:val="00C96B73"/>
    <w:rsid w:val="00CF30A7"/>
    <w:rsid w:val="00D36FED"/>
    <w:rsid w:val="00EA0C43"/>
    <w:rsid w:val="00EA3574"/>
    <w:rsid w:val="00F33FC8"/>
    <w:rsid w:val="00F62C57"/>
    <w:rsid w:val="00FB3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styleId="UnresolvedMention">
    <w:name w:val="Unresolved Mention"/>
    <w:basedOn w:val="DefaultParagraphFont"/>
    <w:uiPriority w:val="99"/>
    <w:semiHidden/>
    <w:unhideWhenUsed/>
    <w:rsid w:val="000A5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ubmed.ncbi.nlm.nih.gov/408299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Een nieuw document maken." ma:contentTypeScope="" ma:versionID="6850b01ceaebb7798b5f5535dddbaa05">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21ca1301a095678c56a20adc66789d42"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E7479-E121-45C8-8545-49C440353C4A}">
  <ds:schemaRefs>
    <ds:schemaRef ds:uri="http://schemas.microsoft.com/sharepoint/v3/contenttype/forms"/>
  </ds:schemaRefs>
</ds:datastoreItem>
</file>

<file path=customXml/itemProps2.xml><?xml version="1.0" encoding="utf-8"?>
<ds:datastoreItem xmlns:ds="http://schemas.openxmlformats.org/officeDocument/2006/customXml" ds:itemID="{00377779-18DD-4737-A089-0501CA37C25E}">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customXml/itemProps3.xml><?xml version="1.0" encoding="utf-8"?>
<ds:datastoreItem xmlns:ds="http://schemas.openxmlformats.org/officeDocument/2006/customXml" ds:itemID="{1CAD60E1-88D9-4B86-A485-C6DEC726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0</TotalTime>
  <Pages>2</Pages>
  <Words>552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Oxana Igonchenkova</cp:lastModifiedBy>
  <cp:revision>2</cp:revision>
  <dcterms:created xsi:type="dcterms:W3CDTF">2025-08-25T18:14:00Z</dcterms:created>
  <dcterms:modified xsi:type="dcterms:W3CDTF">2025-08-25T18:14:00Z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0x0101006C64462A6F2766428A83CED44477B780</vt:lpwstr>
  </property>
  <property fmtid="{D5CDD505-2E9C-101B-9397-08002B2CF9AE}" pid="3" name="MediaServiceImageTags">
    <vt:lpwstr/>
  </property>
</Properties>
</file>