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3BF71" w14:textId="77777777" w:rsidR="00521ACE" w:rsidRPr="00C43430" w:rsidRDefault="00521ACE" w:rsidP="00C43430">
      <w:pPr>
        <w:spacing w:line="276" w:lineRule="auto"/>
        <w:jc w:val="both"/>
        <w:rPr>
          <w:rFonts w:ascii="Calibri" w:hAnsi="Calibri" w:cs="Calibri"/>
          <w:sz w:val="24"/>
          <w:szCs w:val="24"/>
          <w:lang w:val="en-US"/>
        </w:rPr>
      </w:pPr>
      <w:r w:rsidRPr="00C43430">
        <w:rPr>
          <w:rFonts w:ascii="Calibri" w:hAnsi="Calibri" w:cs="Calibri"/>
          <w:b/>
          <w:bCs/>
          <w:sz w:val="28"/>
          <w:szCs w:val="28"/>
          <w:lang w:val="en-US"/>
        </w:rPr>
        <w:t>Title:</w:t>
      </w:r>
      <w:r w:rsidRPr="00C43430">
        <w:rPr>
          <w:rFonts w:ascii="Calibri" w:hAnsi="Calibri" w:cs="Calibri"/>
          <w:sz w:val="24"/>
          <w:szCs w:val="24"/>
          <w:lang w:val="en-US"/>
        </w:rPr>
        <w:t xml:space="preserve"> Bone health after 3 years of ETI therapy: a real-world study from the Danish cystic fibrosis cohort</w:t>
      </w:r>
    </w:p>
    <w:p w14:paraId="50D438A0" w14:textId="77777777" w:rsidR="00521ACE" w:rsidRPr="00C43430" w:rsidRDefault="00521ACE" w:rsidP="00C43430">
      <w:pPr>
        <w:spacing w:line="276" w:lineRule="auto"/>
        <w:jc w:val="both"/>
        <w:rPr>
          <w:rFonts w:ascii="Calibri" w:hAnsi="Calibri" w:cs="Calibri"/>
          <w:sz w:val="24"/>
          <w:szCs w:val="24"/>
          <w:lang w:val="en-US"/>
        </w:rPr>
      </w:pPr>
      <w:r w:rsidRPr="00C43430">
        <w:rPr>
          <w:rFonts w:ascii="Calibri" w:hAnsi="Calibri" w:cs="Calibri"/>
          <w:b/>
          <w:bCs/>
          <w:sz w:val="28"/>
          <w:szCs w:val="28"/>
          <w:lang w:val="en-US"/>
        </w:rPr>
        <w:t>Lay Title:</w:t>
      </w:r>
      <w:r w:rsidRPr="00C43430">
        <w:rPr>
          <w:rFonts w:ascii="Calibri" w:hAnsi="Calibri" w:cs="Calibri"/>
          <w:sz w:val="24"/>
          <w:szCs w:val="24"/>
          <w:lang w:val="en-US"/>
        </w:rPr>
        <w:t xml:space="preserve"> Does the new CF treatment ETI protect bone health? Findings from a 3-year Danish study</w:t>
      </w:r>
    </w:p>
    <w:p w14:paraId="627F6DC2" w14:textId="14C18859" w:rsidR="00521ACE" w:rsidRPr="00C43430" w:rsidRDefault="00521ACE" w:rsidP="00C43430">
      <w:pPr>
        <w:spacing w:line="276" w:lineRule="auto"/>
        <w:jc w:val="both"/>
        <w:rPr>
          <w:rFonts w:ascii="Calibri" w:hAnsi="Calibri" w:cs="Calibri"/>
          <w:b/>
          <w:bCs/>
          <w:sz w:val="28"/>
          <w:szCs w:val="28"/>
          <w:lang w:val="en-US"/>
        </w:rPr>
      </w:pPr>
      <w:bookmarkStart w:id="0" w:name="_Hlk201243619"/>
      <w:r w:rsidRPr="00C43430">
        <w:rPr>
          <w:rFonts w:ascii="Calibri" w:hAnsi="Calibri" w:cs="Calibri"/>
          <w:b/>
          <w:bCs/>
          <w:sz w:val="28"/>
          <w:szCs w:val="28"/>
          <w:lang w:val="en-US"/>
        </w:rPr>
        <w:t>Authors</w:t>
      </w:r>
      <w:r w:rsidR="00C43430">
        <w:rPr>
          <w:rFonts w:ascii="Calibri" w:hAnsi="Calibri" w:cs="Calibri"/>
          <w:b/>
          <w:bCs/>
          <w:sz w:val="28"/>
          <w:szCs w:val="28"/>
          <w:lang w:val="en-US"/>
        </w:rPr>
        <w:t>:</w:t>
      </w:r>
    </w:p>
    <w:p w14:paraId="69C1C354" w14:textId="3D578B15" w:rsidR="00521ACE" w:rsidRPr="00C43430" w:rsidRDefault="00521ACE" w:rsidP="00C43430">
      <w:pPr>
        <w:spacing w:line="276" w:lineRule="auto"/>
        <w:jc w:val="both"/>
        <w:rPr>
          <w:rFonts w:ascii="Calibri" w:hAnsi="Calibri" w:cs="Calibri"/>
          <w:sz w:val="24"/>
          <w:szCs w:val="24"/>
          <w:lang w:val="en-US"/>
        </w:rPr>
      </w:pPr>
      <w:r w:rsidRPr="00C43430">
        <w:rPr>
          <w:rFonts w:ascii="Calibri" w:hAnsi="Calibri" w:cs="Calibri"/>
          <w:sz w:val="24"/>
          <w:szCs w:val="24"/>
          <w:lang w:val="en-US"/>
        </w:rPr>
        <w:t>Esben Herborg Henriksen</w:t>
      </w:r>
      <w:r w:rsidRPr="00C43430">
        <w:rPr>
          <w:rFonts w:ascii="Calibri" w:hAnsi="Calibri" w:cs="Calibri"/>
          <w:sz w:val="24"/>
          <w:szCs w:val="24"/>
          <w:vertAlign w:val="superscript"/>
          <w:lang w:val="en-US"/>
        </w:rPr>
        <w:t>1,2</w:t>
      </w:r>
      <w:r w:rsidRPr="00C43430">
        <w:rPr>
          <w:rFonts w:ascii="Calibri" w:hAnsi="Calibri" w:cs="Calibri"/>
          <w:sz w:val="24"/>
          <w:szCs w:val="24"/>
          <w:lang w:val="en-US"/>
        </w:rPr>
        <w:t>, Bibi Uhre Nielsen</w:t>
      </w:r>
      <w:r w:rsidRPr="00C43430">
        <w:rPr>
          <w:rFonts w:ascii="Calibri" w:hAnsi="Calibri" w:cs="Calibri"/>
          <w:sz w:val="24"/>
          <w:szCs w:val="24"/>
          <w:vertAlign w:val="superscript"/>
          <w:lang w:val="en-US"/>
        </w:rPr>
        <w:t>1</w:t>
      </w:r>
      <w:r w:rsidRPr="00C43430">
        <w:rPr>
          <w:rFonts w:ascii="Calibri" w:hAnsi="Calibri" w:cs="Calibri"/>
          <w:sz w:val="24"/>
          <w:szCs w:val="24"/>
          <w:lang w:val="en-US"/>
        </w:rPr>
        <w:t>, Camilla Bjørn Jensen</w:t>
      </w:r>
      <w:r w:rsidRPr="00C43430">
        <w:rPr>
          <w:rFonts w:ascii="Calibri" w:hAnsi="Calibri" w:cs="Calibri"/>
          <w:sz w:val="24"/>
          <w:szCs w:val="24"/>
          <w:vertAlign w:val="superscript"/>
          <w:lang w:val="en-US"/>
        </w:rPr>
        <w:t>3</w:t>
      </w:r>
      <w:r w:rsidRPr="00C43430">
        <w:rPr>
          <w:rFonts w:ascii="Calibri" w:hAnsi="Calibri" w:cs="Calibri"/>
          <w:sz w:val="24"/>
          <w:szCs w:val="24"/>
          <w:lang w:val="en-US"/>
        </w:rPr>
        <w:t>, Thomas Bryrup</w:t>
      </w:r>
      <w:r w:rsidRPr="00C43430">
        <w:rPr>
          <w:rFonts w:ascii="Calibri" w:hAnsi="Calibri" w:cs="Calibri"/>
          <w:sz w:val="24"/>
          <w:szCs w:val="24"/>
          <w:vertAlign w:val="superscript"/>
          <w:lang w:val="en-US"/>
        </w:rPr>
        <w:t>1</w:t>
      </w:r>
      <w:r w:rsidRPr="00C43430">
        <w:rPr>
          <w:rFonts w:ascii="Calibri" w:hAnsi="Calibri" w:cs="Calibri"/>
          <w:sz w:val="24"/>
          <w:szCs w:val="24"/>
          <w:lang w:val="en-US"/>
        </w:rPr>
        <w:t>, Christine Højte Dahl</w:t>
      </w:r>
      <w:r w:rsidRPr="00C43430">
        <w:rPr>
          <w:rFonts w:ascii="Calibri" w:hAnsi="Calibri" w:cs="Calibri"/>
          <w:sz w:val="24"/>
          <w:szCs w:val="24"/>
          <w:vertAlign w:val="superscript"/>
          <w:lang w:val="en-US"/>
        </w:rPr>
        <w:t>1</w:t>
      </w:r>
      <w:r w:rsidRPr="00C43430">
        <w:rPr>
          <w:rFonts w:ascii="Calibri" w:hAnsi="Calibri" w:cs="Calibri"/>
          <w:sz w:val="24"/>
          <w:szCs w:val="24"/>
          <w:lang w:val="en-US"/>
        </w:rPr>
        <w:t>, Karlen Bader-Larsen</w:t>
      </w:r>
      <w:r w:rsidRPr="00C43430">
        <w:rPr>
          <w:rFonts w:ascii="Calibri" w:hAnsi="Calibri" w:cs="Calibri"/>
          <w:sz w:val="24"/>
          <w:szCs w:val="24"/>
          <w:vertAlign w:val="superscript"/>
          <w:lang w:val="en-US"/>
        </w:rPr>
        <w:t>1</w:t>
      </w:r>
      <w:r w:rsidRPr="00C43430">
        <w:rPr>
          <w:rFonts w:ascii="Calibri" w:hAnsi="Calibri" w:cs="Calibri"/>
          <w:sz w:val="24"/>
          <w:szCs w:val="24"/>
          <w:lang w:val="en-US"/>
        </w:rPr>
        <w:t>, Christian Leo-Hansen</w:t>
      </w:r>
      <w:r w:rsidRPr="00C43430">
        <w:rPr>
          <w:rFonts w:ascii="Calibri" w:hAnsi="Calibri" w:cs="Calibri"/>
          <w:sz w:val="24"/>
          <w:szCs w:val="24"/>
          <w:vertAlign w:val="superscript"/>
          <w:lang w:val="en-US"/>
        </w:rPr>
        <w:t>1</w:t>
      </w:r>
      <w:r w:rsidRPr="00C43430">
        <w:rPr>
          <w:rFonts w:ascii="Calibri" w:hAnsi="Calibri" w:cs="Calibri"/>
          <w:sz w:val="24"/>
          <w:szCs w:val="24"/>
          <w:lang w:val="en-US"/>
        </w:rPr>
        <w:t>, Mette Frahm Olsen</w:t>
      </w:r>
      <w:r w:rsidRPr="00C43430">
        <w:rPr>
          <w:rFonts w:ascii="Calibri" w:hAnsi="Calibri" w:cs="Calibri"/>
          <w:sz w:val="24"/>
          <w:szCs w:val="24"/>
          <w:vertAlign w:val="superscript"/>
          <w:lang w:val="en-US"/>
        </w:rPr>
        <w:t>1,4</w:t>
      </w:r>
      <w:r w:rsidRPr="00C43430">
        <w:rPr>
          <w:rFonts w:ascii="Calibri" w:hAnsi="Calibri" w:cs="Calibri"/>
          <w:sz w:val="24"/>
          <w:szCs w:val="24"/>
          <w:lang w:val="en-US"/>
        </w:rPr>
        <w:t>, Majbritt Jeppesen</w:t>
      </w:r>
      <w:r w:rsidRPr="00C43430">
        <w:rPr>
          <w:rFonts w:ascii="Calibri" w:hAnsi="Calibri" w:cs="Calibri"/>
          <w:sz w:val="24"/>
          <w:szCs w:val="24"/>
          <w:vertAlign w:val="superscript"/>
          <w:lang w:val="en-US"/>
        </w:rPr>
        <w:t>5</w:t>
      </w:r>
      <w:r w:rsidRPr="00C43430">
        <w:rPr>
          <w:rFonts w:ascii="Calibri" w:hAnsi="Calibri" w:cs="Calibri"/>
          <w:sz w:val="24"/>
          <w:szCs w:val="24"/>
          <w:lang w:val="en-US"/>
        </w:rPr>
        <w:t>, Peter Oturai</w:t>
      </w:r>
      <w:r w:rsidRPr="00C43430">
        <w:rPr>
          <w:rFonts w:ascii="Calibri" w:hAnsi="Calibri" w:cs="Calibri"/>
          <w:sz w:val="24"/>
          <w:szCs w:val="24"/>
          <w:vertAlign w:val="superscript"/>
          <w:lang w:val="en-US"/>
        </w:rPr>
        <w:t>6</w:t>
      </w:r>
      <w:r w:rsidRPr="00C43430">
        <w:rPr>
          <w:rFonts w:ascii="Calibri" w:hAnsi="Calibri" w:cs="Calibri"/>
          <w:sz w:val="24"/>
          <w:szCs w:val="24"/>
          <w:lang w:val="en-US"/>
        </w:rPr>
        <w:t>, Peter Schwarz</w:t>
      </w:r>
      <w:r w:rsidRPr="00C43430">
        <w:rPr>
          <w:rFonts w:ascii="Calibri" w:hAnsi="Calibri" w:cs="Calibri"/>
          <w:sz w:val="24"/>
          <w:szCs w:val="24"/>
          <w:vertAlign w:val="superscript"/>
          <w:lang w:val="en-US"/>
        </w:rPr>
        <w:t>7</w:t>
      </w:r>
      <w:r w:rsidRPr="00C43430">
        <w:rPr>
          <w:rFonts w:ascii="Calibri" w:hAnsi="Calibri" w:cs="Calibri"/>
          <w:sz w:val="24"/>
          <w:szCs w:val="24"/>
          <w:lang w:val="en-US"/>
        </w:rPr>
        <w:t>, Bente Langdahl</w:t>
      </w:r>
      <w:r w:rsidRPr="00C43430">
        <w:rPr>
          <w:rFonts w:ascii="Calibri" w:hAnsi="Calibri" w:cs="Calibri"/>
          <w:sz w:val="24"/>
          <w:szCs w:val="24"/>
          <w:vertAlign w:val="superscript"/>
          <w:lang w:val="en-US"/>
        </w:rPr>
        <w:t>8</w:t>
      </w:r>
      <w:r w:rsidRPr="00C43430">
        <w:rPr>
          <w:rFonts w:ascii="Calibri" w:hAnsi="Calibri" w:cs="Calibri"/>
          <w:sz w:val="24"/>
          <w:szCs w:val="24"/>
          <w:lang w:val="en-US"/>
        </w:rPr>
        <w:t>, Thomas Almdal</w:t>
      </w:r>
      <w:r w:rsidRPr="00C43430">
        <w:rPr>
          <w:rFonts w:ascii="Calibri" w:hAnsi="Calibri" w:cs="Calibri"/>
          <w:sz w:val="24"/>
          <w:szCs w:val="24"/>
          <w:vertAlign w:val="superscript"/>
          <w:lang w:val="en-US"/>
        </w:rPr>
        <w:t>7</w:t>
      </w:r>
      <w:r w:rsidRPr="00C43430">
        <w:rPr>
          <w:rFonts w:ascii="Calibri" w:hAnsi="Calibri" w:cs="Calibri"/>
          <w:sz w:val="24"/>
          <w:szCs w:val="24"/>
          <w:lang w:val="en-US"/>
        </w:rPr>
        <w:t>, Daniel Faurholt-Jepsen</w:t>
      </w:r>
      <w:r w:rsidRPr="00C43430">
        <w:rPr>
          <w:rFonts w:ascii="Calibri" w:hAnsi="Calibri" w:cs="Calibri"/>
          <w:sz w:val="24"/>
          <w:szCs w:val="24"/>
          <w:vertAlign w:val="superscript"/>
          <w:lang w:val="en-US"/>
        </w:rPr>
        <w:t>1,9</w:t>
      </w:r>
      <w:r w:rsidRPr="00C43430">
        <w:rPr>
          <w:rFonts w:ascii="Calibri" w:hAnsi="Calibri" w:cs="Calibri"/>
          <w:sz w:val="24"/>
          <w:szCs w:val="24"/>
          <w:lang w:val="en-US"/>
        </w:rPr>
        <w:t>, Inger Hee Mabuza Mathiesen</w:t>
      </w:r>
      <w:r w:rsidRPr="00C43430">
        <w:rPr>
          <w:rFonts w:ascii="Calibri" w:hAnsi="Calibri" w:cs="Calibri"/>
          <w:sz w:val="24"/>
          <w:szCs w:val="24"/>
          <w:vertAlign w:val="superscript"/>
          <w:lang w:val="en-US"/>
        </w:rPr>
        <w:t>1</w:t>
      </w:r>
      <w:r w:rsidRPr="00C43430">
        <w:rPr>
          <w:rFonts w:ascii="Calibri" w:hAnsi="Calibri" w:cs="Calibri"/>
          <w:sz w:val="24"/>
          <w:szCs w:val="24"/>
          <w:lang w:val="en-US"/>
        </w:rPr>
        <w:t xml:space="preserve">, and the </w:t>
      </w:r>
      <w:proofErr w:type="spellStart"/>
      <w:r w:rsidRPr="00C43430">
        <w:rPr>
          <w:rFonts w:ascii="Calibri" w:hAnsi="Calibri" w:cs="Calibri"/>
          <w:sz w:val="24"/>
          <w:szCs w:val="24"/>
          <w:lang w:val="en-US"/>
        </w:rPr>
        <w:t>TransformCF</w:t>
      </w:r>
      <w:proofErr w:type="spellEnd"/>
      <w:r w:rsidRPr="00C43430">
        <w:rPr>
          <w:rFonts w:ascii="Calibri" w:hAnsi="Calibri" w:cs="Calibri"/>
          <w:sz w:val="24"/>
          <w:szCs w:val="24"/>
          <w:lang w:val="en-US"/>
        </w:rPr>
        <w:t xml:space="preserve"> Study Group</w:t>
      </w:r>
    </w:p>
    <w:bookmarkEnd w:id="0"/>
    <w:p w14:paraId="496F512C" w14:textId="77777777" w:rsidR="00521ACE" w:rsidRPr="00C43430" w:rsidRDefault="00521ACE" w:rsidP="00C43430">
      <w:pPr>
        <w:pStyle w:val="Heading2"/>
        <w:spacing w:line="276" w:lineRule="auto"/>
        <w:jc w:val="both"/>
        <w:rPr>
          <w:rFonts w:ascii="Calibri" w:hAnsi="Calibri" w:cs="Calibri"/>
          <w:b/>
          <w:bCs/>
          <w:color w:val="auto"/>
          <w:sz w:val="24"/>
          <w:szCs w:val="24"/>
        </w:rPr>
      </w:pPr>
      <w:r w:rsidRPr="00C43430">
        <w:rPr>
          <w:rFonts w:ascii="Calibri" w:hAnsi="Calibri" w:cs="Calibri"/>
          <w:color w:val="auto"/>
          <w:sz w:val="24"/>
          <w:szCs w:val="24"/>
          <w:u w:val="single"/>
        </w:rPr>
        <w:t>TransformCF Study Group</w:t>
      </w:r>
      <w:r w:rsidRPr="00C43430">
        <w:rPr>
          <w:rFonts w:ascii="Calibri" w:hAnsi="Calibri" w:cs="Calibri"/>
          <w:b/>
          <w:bCs/>
          <w:color w:val="auto"/>
          <w:sz w:val="24"/>
          <w:szCs w:val="24"/>
        </w:rPr>
        <w:t xml:space="preserve">: </w:t>
      </w:r>
    </w:p>
    <w:p w14:paraId="4E89CECA" w14:textId="77777777" w:rsidR="00521ACE" w:rsidRPr="00C43430" w:rsidRDefault="00521ACE" w:rsidP="00C43430">
      <w:pPr>
        <w:spacing w:line="276" w:lineRule="auto"/>
        <w:jc w:val="both"/>
        <w:rPr>
          <w:rFonts w:ascii="Calibri" w:hAnsi="Calibri" w:cs="Calibri"/>
          <w:sz w:val="24"/>
          <w:szCs w:val="24"/>
        </w:rPr>
      </w:pPr>
      <w:r w:rsidRPr="00C43430">
        <w:rPr>
          <w:rFonts w:ascii="Calibri" w:hAnsi="Calibri" w:cs="Calibri"/>
          <w:sz w:val="24"/>
          <w:szCs w:val="24"/>
        </w:rPr>
        <w:t>Hans Kristian Råket Pedersen, Maria Hein Hegelund, Marianne Skov, Søren Jensen-Fangel, Tacjana Pressler, Tavs Qvist, Terese Katzenstein.</w:t>
      </w:r>
    </w:p>
    <w:p w14:paraId="5EB0A84D" w14:textId="2F3C3564" w:rsidR="00521ACE" w:rsidRPr="00C43430" w:rsidRDefault="00521ACE" w:rsidP="00C43430">
      <w:pPr>
        <w:spacing w:line="276" w:lineRule="auto"/>
        <w:jc w:val="both"/>
        <w:rPr>
          <w:rFonts w:ascii="Calibri" w:hAnsi="Calibri" w:cs="Calibri"/>
          <w:sz w:val="28"/>
          <w:szCs w:val="28"/>
          <w:lang w:val="en-US"/>
        </w:rPr>
      </w:pPr>
      <w:r w:rsidRPr="00C43430">
        <w:rPr>
          <w:rFonts w:ascii="Calibri" w:hAnsi="Calibri" w:cs="Calibri"/>
          <w:b/>
          <w:bCs/>
          <w:sz w:val="28"/>
          <w:szCs w:val="28"/>
          <w:lang w:val="en-US"/>
        </w:rPr>
        <w:t>Affiliations:</w:t>
      </w:r>
      <w:r w:rsidRPr="00C43430">
        <w:rPr>
          <w:rFonts w:ascii="Calibri" w:hAnsi="Calibri" w:cs="Calibri"/>
          <w:sz w:val="28"/>
          <w:szCs w:val="28"/>
          <w:lang w:val="en-US"/>
        </w:rPr>
        <w:t xml:space="preserve"> </w:t>
      </w:r>
    </w:p>
    <w:p w14:paraId="77E6D777" w14:textId="77777777" w:rsidR="00521ACE" w:rsidRPr="00C43430" w:rsidRDefault="00521ACE" w:rsidP="00C43430">
      <w:pPr>
        <w:numPr>
          <w:ilvl w:val="0"/>
          <w:numId w:val="1"/>
        </w:numPr>
        <w:spacing w:after="0" w:line="276" w:lineRule="auto"/>
        <w:jc w:val="both"/>
        <w:rPr>
          <w:rFonts w:ascii="Calibri" w:hAnsi="Calibri" w:cs="Calibri"/>
          <w:sz w:val="24"/>
          <w:szCs w:val="24"/>
          <w:lang w:val="en-US"/>
        </w:rPr>
      </w:pPr>
      <w:r w:rsidRPr="00C43430">
        <w:rPr>
          <w:rFonts w:ascii="Calibri" w:hAnsi="Calibri" w:cs="Calibri"/>
          <w:sz w:val="24"/>
          <w:szCs w:val="24"/>
          <w:lang w:val="en-US"/>
        </w:rPr>
        <w:t xml:space="preserve">Department of Infectious Diseases, Cystic Fibrosis Center Copenhagen University Hospital - </w:t>
      </w:r>
      <w:r w:rsidRPr="00C43430">
        <w:rPr>
          <w:rFonts w:ascii="Calibri" w:hAnsi="Calibri" w:cs="Calibri"/>
          <w:sz w:val="24"/>
          <w:szCs w:val="24"/>
          <w:lang w:val="en-GB"/>
        </w:rPr>
        <w:t>Rigshospitalet, Copenhagen, Denmark</w:t>
      </w:r>
    </w:p>
    <w:p w14:paraId="6DE4EE42" w14:textId="77777777" w:rsidR="00521ACE" w:rsidRPr="00C43430" w:rsidRDefault="00521ACE" w:rsidP="00C43430">
      <w:pPr>
        <w:numPr>
          <w:ilvl w:val="0"/>
          <w:numId w:val="1"/>
        </w:numPr>
        <w:spacing w:after="0" w:line="276" w:lineRule="auto"/>
        <w:jc w:val="both"/>
        <w:rPr>
          <w:rFonts w:ascii="Calibri" w:hAnsi="Calibri" w:cs="Calibri"/>
          <w:sz w:val="24"/>
          <w:szCs w:val="24"/>
          <w:lang w:val="en-US"/>
        </w:rPr>
      </w:pPr>
      <w:r w:rsidRPr="00C43430">
        <w:rPr>
          <w:rFonts w:ascii="Calibri" w:hAnsi="Calibri" w:cs="Calibri"/>
          <w:sz w:val="24"/>
          <w:szCs w:val="24"/>
          <w:lang w:val="en-US"/>
        </w:rPr>
        <w:t xml:space="preserve">Department of Pediatrics and Adolescent Medicine, Copenhagen University Hospital - </w:t>
      </w:r>
      <w:r w:rsidRPr="00C43430">
        <w:rPr>
          <w:rFonts w:ascii="Calibri" w:hAnsi="Calibri" w:cs="Calibri"/>
          <w:sz w:val="24"/>
          <w:szCs w:val="24"/>
          <w:lang w:val="en-GB"/>
        </w:rPr>
        <w:t>Rigshospitalet</w:t>
      </w:r>
      <w:r w:rsidRPr="00C43430">
        <w:rPr>
          <w:rFonts w:ascii="Calibri" w:hAnsi="Calibri" w:cs="Calibri"/>
          <w:sz w:val="24"/>
          <w:szCs w:val="24"/>
          <w:lang w:val="en-US"/>
        </w:rPr>
        <w:t>, Copenhagen, Denmark</w:t>
      </w:r>
    </w:p>
    <w:p w14:paraId="029547E7" w14:textId="77777777" w:rsidR="00521ACE" w:rsidRPr="00C43430" w:rsidRDefault="00521ACE" w:rsidP="00C43430">
      <w:pPr>
        <w:pStyle w:val="ListParagraph"/>
        <w:numPr>
          <w:ilvl w:val="0"/>
          <w:numId w:val="1"/>
        </w:numPr>
        <w:spacing w:after="0" w:line="276" w:lineRule="auto"/>
        <w:jc w:val="both"/>
        <w:rPr>
          <w:rStyle w:val="ui-provider"/>
          <w:rFonts w:ascii="Calibri" w:hAnsi="Calibri" w:cs="Calibri"/>
          <w:sz w:val="24"/>
          <w:szCs w:val="24"/>
          <w:lang w:val="en-US"/>
        </w:rPr>
      </w:pPr>
      <w:r w:rsidRPr="00C43430">
        <w:rPr>
          <w:rStyle w:val="ui-provider"/>
          <w:rFonts w:ascii="Calibri" w:hAnsi="Calibri" w:cs="Calibri"/>
          <w:sz w:val="24"/>
          <w:szCs w:val="24"/>
          <w:lang w:val="en-US"/>
        </w:rPr>
        <w:t xml:space="preserve">Copenhagen Phase IV Unit, Department of Clinical Pharmacology and Center for Clinical Research and Prevention, University Hospital of Copenhagen – </w:t>
      </w:r>
      <w:proofErr w:type="spellStart"/>
      <w:r w:rsidRPr="00C43430">
        <w:rPr>
          <w:rStyle w:val="ui-provider"/>
          <w:rFonts w:ascii="Calibri" w:hAnsi="Calibri" w:cs="Calibri"/>
          <w:sz w:val="24"/>
          <w:szCs w:val="24"/>
          <w:lang w:val="en-US"/>
        </w:rPr>
        <w:t>Bispebjerg</w:t>
      </w:r>
      <w:proofErr w:type="spellEnd"/>
      <w:r w:rsidRPr="00C43430">
        <w:rPr>
          <w:rStyle w:val="ui-provider"/>
          <w:rFonts w:ascii="Calibri" w:hAnsi="Calibri" w:cs="Calibri"/>
          <w:sz w:val="24"/>
          <w:szCs w:val="24"/>
          <w:lang w:val="en-US"/>
        </w:rPr>
        <w:t xml:space="preserve"> and Frederiksberg, DK</w:t>
      </w:r>
    </w:p>
    <w:p w14:paraId="33F40804" w14:textId="77777777" w:rsidR="00521ACE" w:rsidRPr="00C43430" w:rsidRDefault="00521ACE" w:rsidP="00C43430">
      <w:pPr>
        <w:pStyle w:val="ListParagraph"/>
        <w:numPr>
          <w:ilvl w:val="0"/>
          <w:numId w:val="1"/>
        </w:numPr>
        <w:spacing w:after="0" w:line="276" w:lineRule="auto"/>
        <w:jc w:val="both"/>
        <w:rPr>
          <w:rFonts w:ascii="Calibri" w:hAnsi="Calibri" w:cs="Calibri"/>
          <w:sz w:val="24"/>
          <w:szCs w:val="24"/>
          <w:lang w:val="en-US"/>
        </w:rPr>
      </w:pPr>
      <w:r w:rsidRPr="00C43430">
        <w:rPr>
          <w:rFonts w:ascii="Calibri" w:hAnsi="Calibri" w:cs="Calibri"/>
          <w:sz w:val="24"/>
          <w:szCs w:val="24"/>
          <w:lang w:val="en-US"/>
        </w:rPr>
        <w:t>Department of Nutrition, Exercise and Sports, University of Copenhagen, Copenhagen, Denmark</w:t>
      </w:r>
    </w:p>
    <w:p w14:paraId="33E4438B" w14:textId="77777777" w:rsidR="00521ACE" w:rsidRPr="00C43430" w:rsidRDefault="00521ACE" w:rsidP="00C43430">
      <w:pPr>
        <w:numPr>
          <w:ilvl w:val="0"/>
          <w:numId w:val="1"/>
        </w:numPr>
        <w:spacing w:after="0" w:line="276" w:lineRule="auto"/>
        <w:jc w:val="both"/>
        <w:rPr>
          <w:rFonts w:ascii="Calibri" w:hAnsi="Calibri" w:cs="Calibri"/>
          <w:sz w:val="24"/>
          <w:szCs w:val="24"/>
          <w:lang w:val="en-US"/>
        </w:rPr>
      </w:pPr>
      <w:r w:rsidRPr="00C43430">
        <w:rPr>
          <w:rFonts w:ascii="Calibri" w:hAnsi="Calibri" w:cs="Calibri"/>
          <w:sz w:val="24"/>
          <w:szCs w:val="24"/>
          <w:lang w:val="en-GB"/>
        </w:rPr>
        <w:t>Department of Infectious Diseases, Aarhus University Hospital, Aarhus, Denmark</w:t>
      </w:r>
    </w:p>
    <w:p w14:paraId="56FFFDEB" w14:textId="77777777" w:rsidR="00521ACE" w:rsidRPr="00C43430" w:rsidRDefault="00521ACE" w:rsidP="00C43430">
      <w:pPr>
        <w:numPr>
          <w:ilvl w:val="0"/>
          <w:numId w:val="1"/>
        </w:numPr>
        <w:spacing w:after="0" w:line="276" w:lineRule="auto"/>
        <w:jc w:val="both"/>
        <w:rPr>
          <w:rFonts w:ascii="Calibri" w:hAnsi="Calibri" w:cs="Calibri"/>
          <w:sz w:val="24"/>
          <w:szCs w:val="24"/>
          <w:lang w:val="en-US"/>
        </w:rPr>
      </w:pPr>
      <w:r w:rsidRPr="00C43430">
        <w:rPr>
          <w:rStyle w:val="Strong"/>
          <w:rFonts w:ascii="Calibri" w:hAnsi="Calibri" w:cs="Calibri"/>
          <w:b w:val="0"/>
          <w:bCs w:val="0"/>
          <w:sz w:val="24"/>
          <w:szCs w:val="24"/>
          <w:shd w:val="clear" w:color="auto" w:fill="FFFFFF"/>
          <w:lang w:val="en-US"/>
        </w:rPr>
        <w:t>Department</w:t>
      </w:r>
      <w:r w:rsidRPr="00C43430">
        <w:rPr>
          <w:rFonts w:ascii="Calibri" w:hAnsi="Calibri" w:cs="Calibri"/>
          <w:b/>
          <w:bCs/>
          <w:sz w:val="24"/>
          <w:szCs w:val="24"/>
          <w:shd w:val="clear" w:color="auto" w:fill="FFFFFF"/>
          <w:lang w:val="en-US"/>
        </w:rPr>
        <w:t> of </w:t>
      </w:r>
      <w:r w:rsidRPr="00C43430">
        <w:rPr>
          <w:rStyle w:val="Strong"/>
          <w:rFonts w:ascii="Calibri" w:hAnsi="Calibri" w:cs="Calibri"/>
          <w:b w:val="0"/>
          <w:bCs w:val="0"/>
          <w:sz w:val="24"/>
          <w:szCs w:val="24"/>
          <w:shd w:val="clear" w:color="auto" w:fill="FFFFFF"/>
          <w:lang w:val="en-US"/>
        </w:rPr>
        <w:t>Clinical</w:t>
      </w:r>
      <w:r w:rsidRPr="00C43430">
        <w:rPr>
          <w:rFonts w:ascii="Calibri" w:hAnsi="Calibri" w:cs="Calibri"/>
          <w:b/>
          <w:bCs/>
          <w:sz w:val="24"/>
          <w:szCs w:val="24"/>
          <w:shd w:val="clear" w:color="auto" w:fill="FFFFFF"/>
          <w:lang w:val="en-US"/>
        </w:rPr>
        <w:t> </w:t>
      </w:r>
      <w:r w:rsidRPr="00C43430">
        <w:rPr>
          <w:rStyle w:val="Strong"/>
          <w:rFonts w:ascii="Calibri" w:hAnsi="Calibri" w:cs="Calibri"/>
          <w:b w:val="0"/>
          <w:bCs w:val="0"/>
          <w:sz w:val="24"/>
          <w:szCs w:val="24"/>
          <w:shd w:val="clear" w:color="auto" w:fill="FFFFFF"/>
          <w:lang w:val="en-US"/>
        </w:rPr>
        <w:t>Physiology</w:t>
      </w:r>
      <w:r w:rsidRPr="00C43430">
        <w:rPr>
          <w:rFonts w:ascii="Calibri" w:hAnsi="Calibri" w:cs="Calibri"/>
          <w:sz w:val="24"/>
          <w:szCs w:val="24"/>
          <w:shd w:val="clear" w:color="auto" w:fill="FFFFFF"/>
          <w:lang w:val="en-US"/>
        </w:rPr>
        <w:t xml:space="preserve"> and Nuclear Medicine, </w:t>
      </w:r>
      <w:r w:rsidRPr="00C43430">
        <w:rPr>
          <w:rFonts w:ascii="Calibri" w:hAnsi="Calibri" w:cs="Calibri"/>
          <w:sz w:val="24"/>
          <w:szCs w:val="24"/>
          <w:lang w:val="en-US"/>
        </w:rPr>
        <w:t xml:space="preserve">Copenhagen University Hospital - </w:t>
      </w:r>
      <w:r w:rsidRPr="00C43430">
        <w:rPr>
          <w:rFonts w:ascii="Calibri" w:hAnsi="Calibri" w:cs="Calibri"/>
          <w:sz w:val="24"/>
          <w:szCs w:val="24"/>
          <w:lang w:val="en-GB"/>
        </w:rPr>
        <w:t>Rigshospitalet, Copenhagen, Denmark</w:t>
      </w:r>
    </w:p>
    <w:p w14:paraId="35BCF2B8" w14:textId="77777777" w:rsidR="00521ACE" w:rsidRPr="00C43430" w:rsidRDefault="00521ACE" w:rsidP="00C43430">
      <w:pPr>
        <w:numPr>
          <w:ilvl w:val="0"/>
          <w:numId w:val="1"/>
        </w:numPr>
        <w:spacing w:after="0" w:line="276" w:lineRule="auto"/>
        <w:jc w:val="both"/>
        <w:rPr>
          <w:rFonts w:ascii="Calibri" w:hAnsi="Calibri" w:cs="Calibri"/>
          <w:sz w:val="24"/>
          <w:szCs w:val="24"/>
          <w:lang w:val="en-US"/>
        </w:rPr>
      </w:pPr>
      <w:r w:rsidRPr="00C43430">
        <w:rPr>
          <w:rFonts w:ascii="Calibri" w:hAnsi="Calibri" w:cs="Calibri"/>
          <w:sz w:val="24"/>
          <w:szCs w:val="24"/>
          <w:lang w:val="en-US"/>
        </w:rPr>
        <w:t xml:space="preserve">Department of Endocrinology, Copenhagen University Hospital - </w:t>
      </w:r>
      <w:r w:rsidRPr="00C43430">
        <w:rPr>
          <w:rFonts w:ascii="Calibri" w:hAnsi="Calibri" w:cs="Calibri"/>
          <w:sz w:val="24"/>
          <w:szCs w:val="24"/>
          <w:lang w:val="en-GB"/>
        </w:rPr>
        <w:t>Rigshospitalet, Copenhagen, Denmark</w:t>
      </w:r>
    </w:p>
    <w:p w14:paraId="2CB84839" w14:textId="77777777" w:rsidR="00521ACE" w:rsidRPr="00C43430" w:rsidRDefault="00521ACE" w:rsidP="00C43430">
      <w:pPr>
        <w:pStyle w:val="NormalWeb"/>
        <w:numPr>
          <w:ilvl w:val="0"/>
          <w:numId w:val="1"/>
        </w:numPr>
        <w:spacing w:line="276" w:lineRule="auto"/>
        <w:jc w:val="both"/>
        <w:rPr>
          <w:rFonts w:ascii="Calibri" w:hAnsi="Calibri" w:cs="Calibri"/>
          <w:color w:val="000000"/>
          <w:lang w:val="en-US"/>
        </w:rPr>
      </w:pPr>
      <w:r w:rsidRPr="00C43430">
        <w:rPr>
          <w:rFonts w:ascii="Calibri" w:hAnsi="Calibri" w:cs="Calibri"/>
          <w:color w:val="000000"/>
          <w:lang w:val="en-GB"/>
        </w:rPr>
        <w:t xml:space="preserve">Dept of Endocrinology and Internal Medicine, </w:t>
      </w:r>
      <w:r w:rsidRPr="00C43430">
        <w:rPr>
          <w:rFonts w:ascii="Calibri" w:hAnsi="Calibri" w:cs="Calibri"/>
          <w:lang w:val="en-GB"/>
        </w:rPr>
        <w:t>Aarhus University Hospital and Dept of Clinical Medicine, Aarhus University, Aarhus, Denmark</w:t>
      </w:r>
    </w:p>
    <w:p w14:paraId="34B78235" w14:textId="77777777" w:rsidR="00521ACE" w:rsidRPr="00C43430" w:rsidRDefault="00521ACE" w:rsidP="00C43430">
      <w:pPr>
        <w:numPr>
          <w:ilvl w:val="0"/>
          <w:numId w:val="1"/>
        </w:numPr>
        <w:spacing w:after="0" w:line="276" w:lineRule="auto"/>
        <w:jc w:val="both"/>
        <w:rPr>
          <w:rFonts w:ascii="Calibri" w:hAnsi="Calibri" w:cs="Calibri"/>
          <w:sz w:val="24"/>
          <w:szCs w:val="24"/>
          <w:lang w:val="en-US"/>
        </w:rPr>
      </w:pPr>
      <w:r w:rsidRPr="00C43430">
        <w:rPr>
          <w:rFonts w:ascii="Calibri" w:hAnsi="Calibri" w:cs="Calibri"/>
          <w:sz w:val="24"/>
          <w:szCs w:val="24"/>
          <w:lang w:val="en-GB"/>
        </w:rPr>
        <w:t xml:space="preserve">Department of Clinical Medicine, </w:t>
      </w:r>
      <w:r w:rsidRPr="00C43430">
        <w:rPr>
          <w:rFonts w:ascii="Calibri" w:hAnsi="Calibri" w:cs="Calibri"/>
          <w:sz w:val="24"/>
          <w:szCs w:val="24"/>
          <w:lang w:val="en-US"/>
        </w:rPr>
        <w:t xml:space="preserve">Copenhagen University Hospital - </w:t>
      </w:r>
      <w:r w:rsidRPr="00C43430">
        <w:rPr>
          <w:rFonts w:ascii="Calibri" w:hAnsi="Calibri" w:cs="Calibri"/>
          <w:sz w:val="24"/>
          <w:szCs w:val="24"/>
          <w:lang w:val="en-GB"/>
        </w:rPr>
        <w:t>Rigshospitalet, Copenhagen, Denmark</w:t>
      </w:r>
    </w:p>
    <w:p w14:paraId="3086C471" w14:textId="3119E99A" w:rsidR="00521ACE" w:rsidRPr="00C43430" w:rsidRDefault="00521ACE" w:rsidP="00C43430">
      <w:pPr>
        <w:spacing w:line="276" w:lineRule="auto"/>
        <w:jc w:val="both"/>
        <w:rPr>
          <w:rFonts w:ascii="Calibri" w:hAnsi="Calibri" w:cs="Calibri"/>
          <w:sz w:val="28"/>
          <w:szCs w:val="28"/>
          <w:lang w:val="en-US"/>
        </w:rPr>
      </w:pPr>
      <w:r w:rsidRPr="00C43430">
        <w:rPr>
          <w:rFonts w:ascii="Calibri" w:hAnsi="Calibri" w:cs="Calibri"/>
          <w:b/>
          <w:bCs/>
          <w:sz w:val="28"/>
          <w:szCs w:val="28"/>
          <w:lang w:val="en-US"/>
        </w:rPr>
        <w:lastRenderedPageBreak/>
        <w:t>What was your research question?</w:t>
      </w:r>
      <w:r w:rsidRPr="00C43430">
        <w:rPr>
          <w:rFonts w:ascii="Calibri" w:hAnsi="Calibri" w:cs="Calibri"/>
          <w:sz w:val="28"/>
          <w:szCs w:val="28"/>
          <w:lang w:val="en-US"/>
        </w:rPr>
        <w:t xml:space="preserve"> </w:t>
      </w:r>
    </w:p>
    <w:p w14:paraId="30BC7BF9" w14:textId="062BAC3D" w:rsidR="00521ACE" w:rsidRPr="00C43430" w:rsidRDefault="00521ACE" w:rsidP="00C43430">
      <w:pPr>
        <w:spacing w:line="276" w:lineRule="auto"/>
        <w:jc w:val="both"/>
        <w:rPr>
          <w:rFonts w:ascii="Calibri" w:hAnsi="Calibri" w:cs="Calibri"/>
          <w:sz w:val="24"/>
          <w:szCs w:val="24"/>
          <w:lang w:val="en-US"/>
        </w:rPr>
      </w:pPr>
      <w:r w:rsidRPr="00C43430">
        <w:rPr>
          <w:rFonts w:ascii="Calibri" w:hAnsi="Calibri" w:cs="Calibri"/>
          <w:sz w:val="24"/>
          <w:szCs w:val="24"/>
          <w:lang w:val="en-US"/>
        </w:rPr>
        <w:t>People with cystic fibrosis (CF) are at increased risk of developing weak bones. The new CF treatment ETI (</w:t>
      </w:r>
      <w:proofErr w:type="spellStart"/>
      <w:r w:rsidRPr="00C43430">
        <w:rPr>
          <w:rFonts w:ascii="Calibri" w:hAnsi="Calibri" w:cs="Calibri"/>
          <w:sz w:val="24"/>
          <w:szCs w:val="24"/>
          <w:lang w:val="en-US"/>
        </w:rPr>
        <w:t>elexacaftor</w:t>
      </w:r>
      <w:proofErr w:type="spellEnd"/>
      <w:r w:rsidRPr="00C43430">
        <w:rPr>
          <w:rFonts w:ascii="Calibri" w:hAnsi="Calibri" w:cs="Calibri"/>
          <w:sz w:val="24"/>
          <w:szCs w:val="24"/>
          <w:lang w:val="en-US"/>
        </w:rPr>
        <w:t>/</w:t>
      </w:r>
      <w:proofErr w:type="spellStart"/>
      <w:r w:rsidRPr="00C43430">
        <w:rPr>
          <w:rFonts w:ascii="Calibri" w:hAnsi="Calibri" w:cs="Calibri"/>
          <w:sz w:val="24"/>
          <w:szCs w:val="24"/>
          <w:lang w:val="en-US"/>
        </w:rPr>
        <w:t>tezacaftor</w:t>
      </w:r>
      <w:proofErr w:type="spellEnd"/>
      <w:r w:rsidRPr="00C43430">
        <w:rPr>
          <w:rFonts w:ascii="Calibri" w:hAnsi="Calibri" w:cs="Calibri"/>
          <w:sz w:val="24"/>
          <w:szCs w:val="24"/>
          <w:lang w:val="en-US"/>
        </w:rPr>
        <w:t>/ivacaftor) improves many factors that affect bone health. But does it actually improve bone health over time? We followed Danish adults with CF for three years to find out.</w:t>
      </w:r>
    </w:p>
    <w:p w14:paraId="49ECCF68" w14:textId="27062082" w:rsidR="00521ACE" w:rsidRPr="00C43430" w:rsidRDefault="00521ACE" w:rsidP="00C43430">
      <w:pPr>
        <w:spacing w:line="276" w:lineRule="auto"/>
        <w:jc w:val="both"/>
        <w:rPr>
          <w:rFonts w:ascii="Calibri" w:hAnsi="Calibri" w:cs="Calibri"/>
          <w:sz w:val="28"/>
          <w:szCs w:val="28"/>
          <w:lang w:val="en-US"/>
        </w:rPr>
      </w:pPr>
      <w:r w:rsidRPr="00C43430">
        <w:rPr>
          <w:rFonts w:ascii="Calibri" w:hAnsi="Calibri" w:cs="Calibri"/>
          <w:b/>
          <w:bCs/>
          <w:sz w:val="28"/>
          <w:szCs w:val="28"/>
          <w:lang w:val="en-US"/>
        </w:rPr>
        <w:t>Why is this important?</w:t>
      </w:r>
      <w:r w:rsidRPr="00C43430">
        <w:rPr>
          <w:rFonts w:ascii="Calibri" w:hAnsi="Calibri" w:cs="Calibri"/>
          <w:sz w:val="28"/>
          <w:szCs w:val="28"/>
          <w:lang w:val="en-US"/>
        </w:rPr>
        <w:t xml:space="preserve"> </w:t>
      </w:r>
    </w:p>
    <w:p w14:paraId="7C9DABFA" w14:textId="7E0731BB" w:rsidR="00521ACE" w:rsidRPr="00C43430" w:rsidRDefault="00521ACE" w:rsidP="00C43430">
      <w:pPr>
        <w:spacing w:line="276" w:lineRule="auto"/>
        <w:jc w:val="both"/>
        <w:rPr>
          <w:rFonts w:ascii="Calibri" w:hAnsi="Calibri" w:cs="Calibri"/>
          <w:sz w:val="24"/>
          <w:szCs w:val="24"/>
          <w:lang w:val="en-US"/>
        </w:rPr>
      </w:pPr>
      <w:r w:rsidRPr="00C43430">
        <w:rPr>
          <w:rFonts w:ascii="Calibri" w:hAnsi="Calibri" w:cs="Calibri"/>
          <w:sz w:val="24"/>
          <w:szCs w:val="24"/>
          <w:lang w:val="en-US"/>
        </w:rPr>
        <w:t>Cystic fibrosis related bone disease is a serious and underappreciated problem in CF. People with CF are at much higher risk of fractures than the general population, including spinal and rib fractures, which can worsen breathing and reduce quality of life significantly. As people with CF now live longer, thanks in large part to treatments like ETI, bone disease is expected to become an increasingly common challenge. We already know that ETI improves nutrition, reduces inflammation, and increases physical activity, all factors that support bone health. Understanding whether ETI also translates into stronger bones over time is therefore an important clinical question for patients and their care teams.</w:t>
      </w:r>
    </w:p>
    <w:p w14:paraId="47DB7F52" w14:textId="749E811E" w:rsidR="00521ACE" w:rsidRPr="00C43430" w:rsidRDefault="00521ACE" w:rsidP="00C43430">
      <w:pPr>
        <w:spacing w:line="276" w:lineRule="auto"/>
        <w:jc w:val="both"/>
        <w:rPr>
          <w:rFonts w:ascii="Calibri" w:hAnsi="Calibri" w:cs="Calibri"/>
          <w:sz w:val="28"/>
          <w:szCs w:val="28"/>
          <w:lang w:val="en-US"/>
        </w:rPr>
      </w:pPr>
      <w:r w:rsidRPr="00C43430">
        <w:rPr>
          <w:rFonts w:ascii="Calibri" w:hAnsi="Calibri" w:cs="Calibri"/>
          <w:b/>
          <w:bCs/>
          <w:sz w:val="28"/>
          <w:szCs w:val="28"/>
          <w:lang w:val="en-US"/>
        </w:rPr>
        <w:t>What did you do?</w:t>
      </w:r>
      <w:r w:rsidRPr="00C43430">
        <w:rPr>
          <w:rFonts w:ascii="Calibri" w:hAnsi="Calibri" w:cs="Calibri"/>
          <w:sz w:val="28"/>
          <w:szCs w:val="28"/>
          <w:lang w:val="en-US"/>
        </w:rPr>
        <w:t xml:space="preserve"> </w:t>
      </w:r>
    </w:p>
    <w:p w14:paraId="662270B6" w14:textId="50AD73C1" w:rsidR="00521ACE" w:rsidRPr="00C43430" w:rsidRDefault="00521ACE" w:rsidP="00C43430">
      <w:pPr>
        <w:spacing w:line="276" w:lineRule="auto"/>
        <w:jc w:val="both"/>
        <w:rPr>
          <w:rFonts w:ascii="Calibri" w:hAnsi="Calibri" w:cs="Calibri"/>
          <w:sz w:val="24"/>
          <w:szCs w:val="24"/>
          <w:lang w:val="en-US"/>
        </w:rPr>
      </w:pPr>
      <w:r w:rsidRPr="00C43430">
        <w:rPr>
          <w:rFonts w:ascii="Calibri" w:hAnsi="Calibri" w:cs="Calibri"/>
          <w:sz w:val="24"/>
          <w:szCs w:val="24"/>
          <w:lang w:val="en-US"/>
        </w:rPr>
        <w:t xml:space="preserve">We studied 197 Danish adults with CF, using </w:t>
      </w:r>
      <w:proofErr w:type="spellStart"/>
      <w:r w:rsidRPr="00C43430">
        <w:rPr>
          <w:rFonts w:ascii="Calibri" w:hAnsi="Calibri" w:cs="Calibri"/>
          <w:sz w:val="24"/>
          <w:szCs w:val="24"/>
          <w:lang w:val="en-US"/>
        </w:rPr>
        <w:t>specialised</w:t>
      </w:r>
      <w:proofErr w:type="spellEnd"/>
      <w:r w:rsidRPr="00C43430">
        <w:rPr>
          <w:rFonts w:ascii="Calibri" w:hAnsi="Calibri" w:cs="Calibri"/>
          <w:sz w:val="24"/>
          <w:szCs w:val="24"/>
          <w:lang w:val="en-US"/>
        </w:rPr>
        <w:t xml:space="preserve"> bone density scans (called DXA scans) to measure bone strength at three sites relevant for assessing risk of fractures. We collected measurements from two years before ETI was started through to three and a half years after. We also measured blood levels of vitamin D, calcium, and parathyroid hormone, substances that reflect how the body manages bone health. Measurements were compared across time points to track any changes after ETI treatment began.</w:t>
      </w:r>
    </w:p>
    <w:p w14:paraId="524AEC47" w14:textId="638B5DE8" w:rsidR="00521ACE" w:rsidRPr="00C43430" w:rsidRDefault="00521ACE" w:rsidP="00C43430">
      <w:pPr>
        <w:spacing w:line="276" w:lineRule="auto"/>
        <w:jc w:val="both"/>
        <w:rPr>
          <w:rFonts w:ascii="Calibri" w:hAnsi="Calibri" w:cs="Calibri"/>
          <w:sz w:val="28"/>
          <w:szCs w:val="28"/>
          <w:lang w:val="en-US"/>
        </w:rPr>
      </w:pPr>
      <w:r w:rsidRPr="00C43430">
        <w:rPr>
          <w:rFonts w:ascii="Calibri" w:hAnsi="Calibri" w:cs="Calibri"/>
          <w:b/>
          <w:bCs/>
          <w:sz w:val="28"/>
          <w:szCs w:val="28"/>
          <w:lang w:val="en-US"/>
        </w:rPr>
        <w:t>What did you find?</w:t>
      </w:r>
      <w:r w:rsidRPr="00C43430">
        <w:rPr>
          <w:rFonts w:ascii="Calibri" w:hAnsi="Calibri" w:cs="Calibri"/>
          <w:sz w:val="28"/>
          <w:szCs w:val="28"/>
          <w:lang w:val="en-US"/>
        </w:rPr>
        <w:t xml:space="preserve"> </w:t>
      </w:r>
    </w:p>
    <w:p w14:paraId="1F574ACB" w14:textId="73B1EE97" w:rsidR="00521ACE" w:rsidRPr="00C43430" w:rsidRDefault="00521ACE" w:rsidP="00C43430">
      <w:pPr>
        <w:spacing w:line="276" w:lineRule="auto"/>
        <w:jc w:val="both"/>
        <w:rPr>
          <w:rFonts w:ascii="Calibri" w:hAnsi="Calibri" w:cs="Calibri"/>
          <w:sz w:val="24"/>
          <w:szCs w:val="24"/>
          <w:lang w:val="en-US"/>
        </w:rPr>
      </w:pPr>
      <w:r w:rsidRPr="00C43430">
        <w:rPr>
          <w:rFonts w:ascii="Calibri" w:hAnsi="Calibri" w:cs="Calibri"/>
          <w:sz w:val="24"/>
          <w:szCs w:val="24"/>
          <w:lang w:val="en-US"/>
        </w:rPr>
        <w:t>Overall, bone density remained largely stable throughout the three years of ETI treatment. There were small changes at some sites, but none of these were considered clinically meaningful. Vitamin D levels in the blood improved after two and three years of ETI, which is a positive sign for bone metabolism. Calcium and parathyroid hormone levels remained unchanged. Results were consistent across subgroups, including men and women, age groups, and those with already lower bone density before starting ETI.</w:t>
      </w:r>
    </w:p>
    <w:p w14:paraId="72DD0FE8" w14:textId="27FE537B" w:rsidR="00521ACE" w:rsidRPr="00C43430" w:rsidRDefault="00521ACE" w:rsidP="00C43430">
      <w:pPr>
        <w:spacing w:line="276" w:lineRule="auto"/>
        <w:jc w:val="both"/>
        <w:rPr>
          <w:rFonts w:ascii="Calibri" w:hAnsi="Calibri" w:cs="Calibri"/>
          <w:sz w:val="24"/>
          <w:szCs w:val="24"/>
        </w:rPr>
      </w:pPr>
    </w:p>
    <w:p w14:paraId="25B82008" w14:textId="51BD3AF3" w:rsidR="00521ACE" w:rsidRPr="00C43430" w:rsidRDefault="00521ACE" w:rsidP="00C43430">
      <w:pPr>
        <w:spacing w:line="276" w:lineRule="auto"/>
        <w:jc w:val="both"/>
        <w:rPr>
          <w:rFonts w:ascii="Calibri" w:hAnsi="Calibri" w:cs="Calibri"/>
          <w:sz w:val="28"/>
          <w:szCs w:val="28"/>
          <w:lang w:val="en-US"/>
        </w:rPr>
      </w:pPr>
      <w:r w:rsidRPr="00C43430">
        <w:rPr>
          <w:rFonts w:ascii="Calibri" w:hAnsi="Calibri" w:cs="Calibri"/>
          <w:b/>
          <w:bCs/>
          <w:sz w:val="28"/>
          <w:szCs w:val="28"/>
          <w:lang w:val="en-US"/>
        </w:rPr>
        <w:t>What does this mean and reasons for caution?</w:t>
      </w:r>
      <w:r w:rsidRPr="00C43430">
        <w:rPr>
          <w:rFonts w:ascii="Calibri" w:hAnsi="Calibri" w:cs="Calibri"/>
          <w:sz w:val="28"/>
          <w:szCs w:val="28"/>
          <w:lang w:val="en-US"/>
        </w:rPr>
        <w:t xml:space="preserve"> </w:t>
      </w:r>
    </w:p>
    <w:p w14:paraId="4B77BDB5" w14:textId="42A0E624" w:rsidR="00C43430" w:rsidRPr="00C43430" w:rsidRDefault="00521ACE" w:rsidP="00C43430">
      <w:pPr>
        <w:spacing w:line="276" w:lineRule="auto"/>
        <w:jc w:val="both"/>
        <w:rPr>
          <w:rFonts w:ascii="Calibri" w:hAnsi="Calibri" w:cs="Calibri"/>
          <w:sz w:val="24"/>
          <w:szCs w:val="24"/>
          <w:lang w:val="en-US"/>
        </w:rPr>
      </w:pPr>
      <w:r w:rsidRPr="00C43430">
        <w:rPr>
          <w:rFonts w:ascii="Calibri" w:hAnsi="Calibri" w:cs="Calibri"/>
          <w:sz w:val="24"/>
          <w:szCs w:val="24"/>
          <w:lang w:val="en-US"/>
        </w:rPr>
        <w:t>We had expected ETI to improve bone density, but this was not clearly seen. However, the stability of bone density over three years is itself an encouraging finding. Historically, adults with CF tend to lose bone mass progressively over time, so the absence of decline may suggest that ETI has a protective effect, slowing or halting that process. This study has limitations: it is observational, meaning we cannot rule out other explanations, and the three-year mark had fewer patients contributing data, so those findings should be interpreted cautiously. Additionally, our patients had relatively normal bone density at the start, which may have made improvements harder to detect.</w:t>
      </w:r>
    </w:p>
    <w:p w14:paraId="5D91F556" w14:textId="05CE03E3" w:rsidR="00521ACE" w:rsidRPr="00C43430" w:rsidRDefault="00521ACE" w:rsidP="00C43430">
      <w:pPr>
        <w:spacing w:line="276" w:lineRule="auto"/>
        <w:jc w:val="both"/>
        <w:rPr>
          <w:rFonts w:ascii="Calibri" w:hAnsi="Calibri" w:cs="Calibri"/>
          <w:sz w:val="28"/>
          <w:szCs w:val="28"/>
          <w:lang w:val="en-US"/>
        </w:rPr>
      </w:pPr>
      <w:r w:rsidRPr="00C43430">
        <w:rPr>
          <w:rFonts w:ascii="Calibri" w:hAnsi="Calibri" w:cs="Calibri"/>
          <w:b/>
          <w:bCs/>
          <w:sz w:val="28"/>
          <w:szCs w:val="28"/>
          <w:lang w:val="en-US"/>
        </w:rPr>
        <w:t>What's next?</w:t>
      </w:r>
      <w:r w:rsidRPr="00C43430">
        <w:rPr>
          <w:rFonts w:ascii="Calibri" w:hAnsi="Calibri" w:cs="Calibri"/>
          <w:sz w:val="28"/>
          <w:szCs w:val="28"/>
          <w:lang w:val="en-US"/>
        </w:rPr>
        <w:t xml:space="preserve"> </w:t>
      </w:r>
    </w:p>
    <w:p w14:paraId="11B0B422" w14:textId="43E374D2" w:rsidR="0014628F" w:rsidRDefault="00521ACE" w:rsidP="00C43430">
      <w:pPr>
        <w:spacing w:line="276" w:lineRule="auto"/>
        <w:jc w:val="both"/>
        <w:rPr>
          <w:rFonts w:ascii="Calibri" w:hAnsi="Calibri" w:cs="Calibri"/>
          <w:sz w:val="24"/>
          <w:szCs w:val="24"/>
          <w:lang w:val="en-US"/>
        </w:rPr>
      </w:pPr>
      <w:r w:rsidRPr="00C43430">
        <w:rPr>
          <w:rFonts w:ascii="Calibri" w:hAnsi="Calibri" w:cs="Calibri"/>
          <w:sz w:val="24"/>
          <w:szCs w:val="24"/>
          <w:lang w:val="en-US"/>
        </w:rPr>
        <w:t>Longer follow-up studies are needed to determine whether ETI truly protects against bone loss over time. Particular attention should be paid to women with CF, as more are now expected to reach menopause, a period of accelerated bone loss, with pre-existing bone vulnerability. Monitoring bone health remains essential in the CF population.</w:t>
      </w:r>
    </w:p>
    <w:p w14:paraId="6DD2DD44" w14:textId="77777777" w:rsidR="0014628F" w:rsidRDefault="0014628F" w:rsidP="00C43430">
      <w:pPr>
        <w:spacing w:line="276" w:lineRule="auto"/>
        <w:jc w:val="both"/>
        <w:rPr>
          <w:rFonts w:ascii="Calibri" w:hAnsi="Calibri" w:cs="Calibri"/>
          <w:sz w:val="24"/>
          <w:szCs w:val="24"/>
          <w:lang w:val="en-US"/>
        </w:rPr>
      </w:pPr>
    </w:p>
    <w:p w14:paraId="763DE656" w14:textId="10E1F8ED" w:rsidR="0014628F" w:rsidRPr="0002300F" w:rsidRDefault="0014628F" w:rsidP="0014628F">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r>
        <w:rPr>
          <w:rFonts w:ascii="Calibri" w:eastAsia="Calibri" w:hAnsi="Calibri"/>
          <w:b/>
          <w:sz w:val="28"/>
          <w:szCs w:val="28"/>
        </w:rPr>
        <w:t>:</w:t>
      </w:r>
    </w:p>
    <w:p w14:paraId="3A8BDC7F" w14:textId="569036CE" w:rsidR="0014628F" w:rsidRDefault="00967FA6" w:rsidP="00C43430">
      <w:pPr>
        <w:spacing w:line="276" w:lineRule="auto"/>
        <w:jc w:val="both"/>
        <w:rPr>
          <w:rFonts w:ascii="Calibri" w:hAnsi="Calibri" w:cs="Calibri"/>
          <w:sz w:val="24"/>
          <w:szCs w:val="24"/>
        </w:rPr>
      </w:pPr>
      <w:hyperlink r:id="rId10" w:history="1">
        <w:r w:rsidRPr="00967FA6">
          <w:rPr>
            <w:rStyle w:val="Hyperlink"/>
            <w:rFonts w:ascii="Calibri" w:hAnsi="Calibri" w:cs="Calibri"/>
            <w:sz w:val="24"/>
            <w:szCs w:val="24"/>
          </w:rPr>
          <w:t>https://pubmed.ncbi.nlm.nih.gov/41714236</w:t>
        </w:r>
        <w:r w:rsidRPr="00967FA6">
          <w:rPr>
            <w:rStyle w:val="Hyperlink"/>
            <w:rFonts w:ascii="Calibri" w:hAnsi="Calibri" w:cs="Calibri"/>
            <w:sz w:val="24"/>
            <w:szCs w:val="24"/>
          </w:rPr>
          <w:t>/</w:t>
        </w:r>
      </w:hyperlink>
    </w:p>
    <w:p w14:paraId="43D86F1B" w14:textId="77777777" w:rsidR="00967FA6" w:rsidRPr="00967FA6" w:rsidRDefault="00967FA6" w:rsidP="00C43430">
      <w:pPr>
        <w:spacing w:line="276" w:lineRule="auto"/>
        <w:jc w:val="both"/>
        <w:rPr>
          <w:rFonts w:ascii="Calibri" w:hAnsi="Calibri" w:cs="Calibri"/>
          <w:sz w:val="24"/>
          <w:szCs w:val="24"/>
        </w:rPr>
      </w:pPr>
    </w:p>
    <w:p w14:paraId="11078268" w14:textId="77777777" w:rsidR="00967FA6" w:rsidRPr="00967FA6" w:rsidRDefault="00967FA6" w:rsidP="00C43430">
      <w:pPr>
        <w:spacing w:line="276" w:lineRule="auto"/>
        <w:jc w:val="both"/>
        <w:rPr>
          <w:rFonts w:ascii="Calibri" w:hAnsi="Calibri" w:cs="Calibri"/>
          <w:b/>
          <w:bCs/>
          <w:sz w:val="24"/>
          <w:szCs w:val="24"/>
        </w:rPr>
      </w:pPr>
    </w:p>
    <w:p w14:paraId="565DCE0A" w14:textId="77777777" w:rsidR="007C0D75" w:rsidRPr="00967FA6" w:rsidRDefault="007C0D75" w:rsidP="00C43430">
      <w:pPr>
        <w:spacing w:line="276" w:lineRule="auto"/>
        <w:jc w:val="both"/>
        <w:rPr>
          <w:rFonts w:ascii="Calibri" w:hAnsi="Calibri" w:cs="Calibri"/>
          <w:sz w:val="24"/>
          <w:szCs w:val="24"/>
        </w:rPr>
      </w:pPr>
    </w:p>
    <w:sectPr w:rsidR="007C0D75" w:rsidRPr="00967FA6">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BC926" w14:textId="77777777" w:rsidR="003D5F7D" w:rsidRDefault="003D5F7D" w:rsidP="00F66974">
      <w:pPr>
        <w:spacing w:after="0" w:line="240" w:lineRule="auto"/>
      </w:pPr>
      <w:r>
        <w:separator/>
      </w:r>
    </w:p>
  </w:endnote>
  <w:endnote w:type="continuationSeparator" w:id="0">
    <w:p w14:paraId="20174236" w14:textId="77777777" w:rsidR="003D5F7D" w:rsidRDefault="003D5F7D" w:rsidP="00F6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E8FF" w14:textId="11A3E43E" w:rsidR="00FA08ED" w:rsidRDefault="00FA08ED" w:rsidP="00FA08ED">
    <w:pPr>
      <w:pStyle w:val="Footer"/>
      <w:jc w:val="center"/>
    </w:pPr>
    <w:r w:rsidRPr="00717EB1">
      <w:rPr>
        <w:rFonts w:ascii="Palatino Linotype" w:hAnsi="Palatino Linotype"/>
        <w:b/>
        <w:sz w:val="40"/>
        <w:szCs w:val="40"/>
      </w:rPr>
      <w:t xml:space="preserve">Cystic </w:t>
    </w:r>
    <w:r w:rsidRPr="00717EB1">
      <w:rPr>
        <w:rFonts w:ascii="Palatino Linotype" w:hAnsi="Palatino Linotype"/>
        <w:b/>
        <w:sz w:val="40"/>
        <w:szCs w:val="40"/>
      </w:rPr>
      <w:t>Fibrosis Research News</w:t>
    </w:r>
  </w:p>
  <w:p w14:paraId="24C8551B" w14:textId="44AD7A8E" w:rsidR="00FA08ED" w:rsidRDefault="00FA08ED" w:rsidP="00FA08ED">
    <w:pPr>
      <w:pStyle w:val="Footer"/>
      <w:jc w:val="center"/>
    </w:pPr>
    <w:hyperlink r:id="rId1" w:history="1">
      <w:r w:rsidRPr="00360D9F">
        <w:rPr>
          <w:rStyle w:val="Hyperlink"/>
        </w:rPr>
        <w:t>cfresearchnews@gmail.com</w:t>
      </w:r>
    </w:hyperlink>
  </w:p>
  <w:p w14:paraId="19396E9A" w14:textId="77777777" w:rsidR="00F66974" w:rsidRDefault="00F66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259A" w14:textId="77777777" w:rsidR="003D5F7D" w:rsidRDefault="003D5F7D" w:rsidP="00F66974">
      <w:pPr>
        <w:spacing w:after="0" w:line="240" w:lineRule="auto"/>
      </w:pPr>
      <w:r>
        <w:separator/>
      </w:r>
    </w:p>
  </w:footnote>
  <w:footnote w:type="continuationSeparator" w:id="0">
    <w:p w14:paraId="34B97D1F" w14:textId="77777777" w:rsidR="003D5F7D" w:rsidRDefault="003D5F7D" w:rsidP="00F6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5C26" w14:textId="77777777" w:rsidR="00F66974" w:rsidRDefault="00F66974" w:rsidP="00F66974">
    <w:pPr>
      <w:pStyle w:val="Header"/>
    </w:pPr>
    <w:r>
      <w:rPr>
        <w:noProof/>
        <w:lang w:eastAsia="en-AU"/>
      </w:rPr>
      <w:drawing>
        <wp:inline distT="0" distB="0" distL="0" distR="0" wp14:anchorId="44E9355A" wp14:editId="582321B3">
          <wp:extent cx="2237426" cy="999831"/>
          <wp:effectExtent l="0" t="0" r="0" b="0"/>
          <wp:docPr id="4" name="Picture 4"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2C876D67" wp14:editId="56D0B734">
          <wp:extent cx="2695575" cy="978990"/>
          <wp:effectExtent l="0" t="0" r="0" b="0"/>
          <wp:docPr id="5" name="Picture 5"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7141FEC2" w14:textId="77777777" w:rsidR="00F66974" w:rsidRDefault="00F66974" w:rsidP="00F66974">
    <w:pPr>
      <w:pStyle w:val="Header"/>
    </w:pPr>
  </w:p>
  <w:p w14:paraId="0BD75A55" w14:textId="77777777" w:rsidR="00F66974" w:rsidRDefault="00F66974" w:rsidP="00F66974">
    <w:pPr>
      <w:pStyle w:val="Header"/>
    </w:pPr>
  </w:p>
  <w:p w14:paraId="5FB11A1C" w14:textId="77777777" w:rsidR="00F66974" w:rsidRPr="00717EB1" w:rsidRDefault="00F66974" w:rsidP="00F66974">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28439CF5" w14:textId="77777777" w:rsidR="00F66974" w:rsidRDefault="00F66974" w:rsidP="00F66974">
    <w:pPr>
      <w:pStyle w:val="Header"/>
    </w:pPr>
  </w:p>
  <w:p w14:paraId="155BCD6E" w14:textId="77777777" w:rsidR="00F66974" w:rsidRDefault="00F66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C645D"/>
    <w:multiLevelType w:val="hybridMultilevel"/>
    <w:tmpl w:val="42CAC9E6"/>
    <w:lvl w:ilvl="0" w:tplc="10FE3BAE">
      <w:start w:val="1"/>
      <w:numFmt w:val="decimal"/>
      <w:lvlText w:val="%1."/>
      <w:lvlJc w:val="left"/>
      <w:pPr>
        <w:tabs>
          <w:tab w:val="num" w:pos="360"/>
        </w:tabs>
        <w:ind w:left="360" w:hanging="360"/>
      </w:pPr>
    </w:lvl>
    <w:lvl w:ilvl="1" w:tplc="FBD4A432" w:tentative="1">
      <w:start w:val="1"/>
      <w:numFmt w:val="decimal"/>
      <w:lvlText w:val="%2."/>
      <w:lvlJc w:val="left"/>
      <w:pPr>
        <w:tabs>
          <w:tab w:val="num" w:pos="1080"/>
        </w:tabs>
        <w:ind w:left="1080" w:hanging="360"/>
      </w:pPr>
    </w:lvl>
    <w:lvl w:ilvl="2" w:tplc="99F854DC" w:tentative="1">
      <w:start w:val="1"/>
      <w:numFmt w:val="decimal"/>
      <w:lvlText w:val="%3."/>
      <w:lvlJc w:val="left"/>
      <w:pPr>
        <w:tabs>
          <w:tab w:val="num" w:pos="1800"/>
        </w:tabs>
        <w:ind w:left="1800" w:hanging="360"/>
      </w:pPr>
    </w:lvl>
    <w:lvl w:ilvl="3" w:tplc="FEDE42E6" w:tentative="1">
      <w:start w:val="1"/>
      <w:numFmt w:val="decimal"/>
      <w:lvlText w:val="%4."/>
      <w:lvlJc w:val="left"/>
      <w:pPr>
        <w:tabs>
          <w:tab w:val="num" w:pos="2520"/>
        </w:tabs>
        <w:ind w:left="2520" w:hanging="360"/>
      </w:pPr>
    </w:lvl>
    <w:lvl w:ilvl="4" w:tplc="D178A070" w:tentative="1">
      <w:start w:val="1"/>
      <w:numFmt w:val="decimal"/>
      <w:lvlText w:val="%5."/>
      <w:lvlJc w:val="left"/>
      <w:pPr>
        <w:tabs>
          <w:tab w:val="num" w:pos="3240"/>
        </w:tabs>
        <w:ind w:left="3240" w:hanging="360"/>
      </w:pPr>
    </w:lvl>
    <w:lvl w:ilvl="5" w:tplc="51FA6544" w:tentative="1">
      <w:start w:val="1"/>
      <w:numFmt w:val="decimal"/>
      <w:lvlText w:val="%6."/>
      <w:lvlJc w:val="left"/>
      <w:pPr>
        <w:tabs>
          <w:tab w:val="num" w:pos="3960"/>
        </w:tabs>
        <w:ind w:left="3960" w:hanging="360"/>
      </w:pPr>
    </w:lvl>
    <w:lvl w:ilvl="6" w:tplc="3A100B60" w:tentative="1">
      <w:start w:val="1"/>
      <w:numFmt w:val="decimal"/>
      <w:lvlText w:val="%7."/>
      <w:lvlJc w:val="left"/>
      <w:pPr>
        <w:tabs>
          <w:tab w:val="num" w:pos="4680"/>
        </w:tabs>
        <w:ind w:left="4680" w:hanging="360"/>
      </w:pPr>
    </w:lvl>
    <w:lvl w:ilvl="7" w:tplc="E64A45F0" w:tentative="1">
      <w:start w:val="1"/>
      <w:numFmt w:val="decimal"/>
      <w:lvlText w:val="%8."/>
      <w:lvlJc w:val="left"/>
      <w:pPr>
        <w:tabs>
          <w:tab w:val="num" w:pos="5400"/>
        </w:tabs>
        <w:ind w:left="5400" w:hanging="360"/>
      </w:pPr>
    </w:lvl>
    <w:lvl w:ilvl="8" w:tplc="6AC46C90" w:tentative="1">
      <w:start w:val="1"/>
      <w:numFmt w:val="decimal"/>
      <w:lvlText w:val="%9."/>
      <w:lvlJc w:val="left"/>
      <w:pPr>
        <w:tabs>
          <w:tab w:val="num" w:pos="6120"/>
        </w:tabs>
        <w:ind w:left="6120" w:hanging="360"/>
      </w:pPr>
    </w:lvl>
  </w:abstractNum>
  <w:num w:numId="1" w16cid:durableId="631062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CE"/>
    <w:rsid w:val="00056F55"/>
    <w:rsid w:val="000637F8"/>
    <w:rsid w:val="0014628F"/>
    <w:rsid w:val="001A176E"/>
    <w:rsid w:val="002A2CD1"/>
    <w:rsid w:val="003D5F7D"/>
    <w:rsid w:val="00416740"/>
    <w:rsid w:val="00521ACE"/>
    <w:rsid w:val="00615C73"/>
    <w:rsid w:val="00776DD6"/>
    <w:rsid w:val="007C0D75"/>
    <w:rsid w:val="00873511"/>
    <w:rsid w:val="00967FA6"/>
    <w:rsid w:val="00A67F08"/>
    <w:rsid w:val="00C43430"/>
    <w:rsid w:val="00E8325A"/>
    <w:rsid w:val="00E87C8E"/>
    <w:rsid w:val="00F66974"/>
    <w:rsid w:val="00FA08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C86B"/>
  <w15:chartTrackingRefBased/>
  <w15:docId w15:val="{F81AF5AD-B9BC-447D-B037-57084CFE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1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1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ACE"/>
    <w:rPr>
      <w:rFonts w:eastAsiaTheme="majorEastAsia" w:cstheme="majorBidi"/>
      <w:color w:val="272727" w:themeColor="text1" w:themeTint="D8"/>
    </w:rPr>
  </w:style>
  <w:style w:type="paragraph" w:styleId="Title">
    <w:name w:val="Title"/>
    <w:basedOn w:val="Normal"/>
    <w:next w:val="Normal"/>
    <w:link w:val="TitleChar"/>
    <w:uiPriority w:val="10"/>
    <w:qFormat/>
    <w:rsid w:val="00521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ACE"/>
    <w:pPr>
      <w:spacing w:before="160"/>
      <w:jc w:val="center"/>
    </w:pPr>
    <w:rPr>
      <w:i/>
      <w:iCs/>
      <w:color w:val="404040" w:themeColor="text1" w:themeTint="BF"/>
    </w:rPr>
  </w:style>
  <w:style w:type="character" w:customStyle="1" w:styleId="QuoteChar">
    <w:name w:val="Quote Char"/>
    <w:basedOn w:val="DefaultParagraphFont"/>
    <w:link w:val="Quote"/>
    <w:uiPriority w:val="29"/>
    <w:rsid w:val="00521ACE"/>
    <w:rPr>
      <w:i/>
      <w:iCs/>
      <w:color w:val="404040" w:themeColor="text1" w:themeTint="BF"/>
    </w:rPr>
  </w:style>
  <w:style w:type="paragraph" w:styleId="ListParagraph">
    <w:name w:val="List Paragraph"/>
    <w:basedOn w:val="Normal"/>
    <w:uiPriority w:val="34"/>
    <w:qFormat/>
    <w:rsid w:val="00521ACE"/>
    <w:pPr>
      <w:ind w:left="720"/>
      <w:contextualSpacing/>
    </w:pPr>
  </w:style>
  <w:style w:type="character" w:styleId="IntenseEmphasis">
    <w:name w:val="Intense Emphasis"/>
    <w:basedOn w:val="DefaultParagraphFont"/>
    <w:uiPriority w:val="21"/>
    <w:qFormat/>
    <w:rsid w:val="00521ACE"/>
    <w:rPr>
      <w:i/>
      <w:iCs/>
      <w:color w:val="0F4761" w:themeColor="accent1" w:themeShade="BF"/>
    </w:rPr>
  </w:style>
  <w:style w:type="paragraph" w:styleId="IntenseQuote">
    <w:name w:val="Intense Quote"/>
    <w:basedOn w:val="Normal"/>
    <w:next w:val="Normal"/>
    <w:link w:val="IntenseQuoteChar"/>
    <w:uiPriority w:val="30"/>
    <w:qFormat/>
    <w:rsid w:val="00521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ACE"/>
    <w:rPr>
      <w:i/>
      <w:iCs/>
      <w:color w:val="0F4761" w:themeColor="accent1" w:themeShade="BF"/>
    </w:rPr>
  </w:style>
  <w:style w:type="character" w:styleId="IntenseReference">
    <w:name w:val="Intense Reference"/>
    <w:basedOn w:val="DefaultParagraphFont"/>
    <w:uiPriority w:val="32"/>
    <w:qFormat/>
    <w:rsid w:val="00521ACE"/>
    <w:rPr>
      <w:b/>
      <w:bCs/>
      <w:smallCaps/>
      <w:color w:val="0F4761" w:themeColor="accent1" w:themeShade="BF"/>
      <w:spacing w:val="5"/>
    </w:rPr>
  </w:style>
  <w:style w:type="paragraph" w:styleId="NormalWeb">
    <w:name w:val="Normal (Web)"/>
    <w:basedOn w:val="Normal"/>
    <w:uiPriority w:val="99"/>
    <w:unhideWhenUsed/>
    <w:rsid w:val="00521ACE"/>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ui-provider">
    <w:name w:val="ui-provider"/>
    <w:basedOn w:val="DefaultParagraphFont"/>
    <w:rsid w:val="00521ACE"/>
  </w:style>
  <w:style w:type="character" w:styleId="Strong">
    <w:name w:val="Strong"/>
    <w:basedOn w:val="DefaultParagraphFont"/>
    <w:uiPriority w:val="22"/>
    <w:qFormat/>
    <w:rsid w:val="00521ACE"/>
    <w:rPr>
      <w:b/>
      <w:bCs/>
    </w:rPr>
  </w:style>
  <w:style w:type="paragraph" w:styleId="Header">
    <w:name w:val="header"/>
    <w:basedOn w:val="Normal"/>
    <w:link w:val="HeaderChar"/>
    <w:uiPriority w:val="99"/>
    <w:unhideWhenUsed/>
    <w:rsid w:val="00F669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6974"/>
  </w:style>
  <w:style w:type="paragraph" w:styleId="Footer">
    <w:name w:val="footer"/>
    <w:basedOn w:val="Normal"/>
    <w:link w:val="FooterChar"/>
    <w:uiPriority w:val="99"/>
    <w:unhideWhenUsed/>
    <w:rsid w:val="00F669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6974"/>
  </w:style>
  <w:style w:type="character" w:styleId="Hyperlink">
    <w:name w:val="Hyperlink"/>
    <w:basedOn w:val="DefaultParagraphFont"/>
    <w:uiPriority w:val="99"/>
    <w:unhideWhenUsed/>
    <w:rsid w:val="00FA08ED"/>
    <w:rPr>
      <w:color w:val="467886" w:themeColor="hyperlink"/>
      <w:u w:val="single"/>
    </w:rPr>
  </w:style>
  <w:style w:type="character" w:styleId="UnresolvedMention">
    <w:name w:val="Unresolved Mention"/>
    <w:basedOn w:val="DefaultParagraphFont"/>
    <w:uiPriority w:val="99"/>
    <w:semiHidden/>
    <w:unhideWhenUsed/>
    <w:rsid w:val="00FA0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652779">
      <w:bodyDiv w:val="1"/>
      <w:marLeft w:val="0"/>
      <w:marRight w:val="0"/>
      <w:marTop w:val="0"/>
      <w:marBottom w:val="0"/>
      <w:divBdr>
        <w:top w:val="none" w:sz="0" w:space="0" w:color="auto"/>
        <w:left w:val="none" w:sz="0" w:space="0" w:color="auto"/>
        <w:bottom w:val="none" w:sz="0" w:space="0" w:color="auto"/>
        <w:right w:val="none" w:sz="0" w:space="0" w:color="auto"/>
      </w:divBdr>
    </w:div>
    <w:div w:id="165973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ubmed.ncbi.nlm.nih.gov/4171423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Create a new document." ma:contentTypeScope="" ma:versionID="c860dbc23217f3ef3555257ebb5ec84b">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c18bba2fef5bc55edb88d5a8703c8779"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7D5DA1-DC47-4130-8C3C-25365DAE7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a9d15-ec26-4483-a5fa-2f5413ebbe36"/>
    <ds:schemaRef ds:uri="9139c953-b1ed-4a1b-a7ed-d87dbacc6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89C05-BA38-451A-BBD2-B8ABC4313AE7}">
  <ds:schemaRefs>
    <ds:schemaRef ds:uri="http://schemas.microsoft.com/sharepoint/v3/contenttype/forms"/>
  </ds:schemaRefs>
</ds:datastoreItem>
</file>

<file path=customXml/itemProps3.xml><?xml version="1.0" encoding="utf-8"?>
<ds:datastoreItem xmlns:ds="http://schemas.openxmlformats.org/officeDocument/2006/customXml" ds:itemID="{E103BC8A-1189-4052-B752-EAC32E47847B}">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793</Words>
  <Characters>4364</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Esben Herborg</dc:creator>
  <cp:keywords/>
  <dc:description/>
  <cp:lastModifiedBy>Oxana Igonchenkova</cp:lastModifiedBy>
  <cp:revision>7</cp:revision>
  <dcterms:created xsi:type="dcterms:W3CDTF">2026-02-23T13:26:00Z</dcterms:created>
  <dcterms:modified xsi:type="dcterms:W3CDTF">2026-03-17T10:02:00Z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