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EF21F" w14:textId="77777777" w:rsidR="000B7F71" w:rsidRPr="000B7F71" w:rsidRDefault="000B7F71" w:rsidP="000B7F71">
      <w:pPr>
        <w:spacing w:after="0" w:line="240" w:lineRule="auto"/>
        <w:jc w:val="both"/>
        <w:rPr>
          <w:b/>
          <w:bCs/>
          <w:sz w:val="28"/>
          <w:szCs w:val="28"/>
        </w:rPr>
      </w:pPr>
      <w:r w:rsidRPr="000B7F71">
        <w:rPr>
          <w:b/>
          <w:bCs/>
          <w:sz w:val="28"/>
          <w:szCs w:val="28"/>
        </w:rPr>
        <w:t xml:space="preserve">Title: </w:t>
      </w:r>
    </w:p>
    <w:p w14:paraId="5095EB6B" w14:textId="4C24F95B" w:rsidR="000B7F71" w:rsidRPr="000B7F71" w:rsidRDefault="000B7F71" w:rsidP="000B7F71">
      <w:pPr>
        <w:spacing w:after="0" w:line="240" w:lineRule="auto"/>
        <w:jc w:val="both"/>
        <w:rPr>
          <w:sz w:val="24"/>
          <w:szCs w:val="24"/>
        </w:rPr>
      </w:pPr>
      <w:proofErr w:type="spellStart"/>
      <w:r w:rsidRPr="000B7F71">
        <w:rPr>
          <w:sz w:val="24"/>
          <w:szCs w:val="24"/>
        </w:rPr>
        <w:t>Elexacaftor</w:t>
      </w:r>
      <w:proofErr w:type="spellEnd"/>
      <w:r w:rsidRPr="000B7F71">
        <w:rPr>
          <w:sz w:val="24"/>
          <w:szCs w:val="24"/>
        </w:rPr>
        <w:t>/</w:t>
      </w:r>
      <w:proofErr w:type="spellStart"/>
      <w:r w:rsidRPr="000B7F71">
        <w:rPr>
          <w:sz w:val="24"/>
          <w:szCs w:val="24"/>
        </w:rPr>
        <w:t>tezacaftor</w:t>
      </w:r>
      <w:proofErr w:type="spellEnd"/>
      <w:r w:rsidRPr="000B7F71">
        <w:rPr>
          <w:sz w:val="24"/>
          <w:szCs w:val="24"/>
        </w:rPr>
        <w:t>/ivacaftor prescription in lung transplant recipients with cystic fibrosis in the US</w:t>
      </w:r>
    </w:p>
    <w:p w14:paraId="2331F4D1" w14:textId="77777777" w:rsidR="000B7F71" w:rsidRPr="000B7F71" w:rsidRDefault="000B7F71" w:rsidP="000B7F71">
      <w:pPr>
        <w:spacing w:after="0" w:line="240" w:lineRule="auto"/>
        <w:jc w:val="both"/>
        <w:rPr>
          <w:sz w:val="24"/>
          <w:szCs w:val="24"/>
        </w:rPr>
      </w:pPr>
    </w:p>
    <w:p w14:paraId="3E848622" w14:textId="77777777" w:rsidR="000B7F71" w:rsidRPr="000B7F71" w:rsidRDefault="000B7F71" w:rsidP="000B7F71">
      <w:pPr>
        <w:spacing w:after="0" w:line="240" w:lineRule="auto"/>
        <w:jc w:val="both"/>
        <w:rPr>
          <w:sz w:val="28"/>
          <w:szCs w:val="28"/>
        </w:rPr>
      </w:pPr>
      <w:r w:rsidRPr="000B7F71">
        <w:rPr>
          <w:b/>
          <w:bCs/>
          <w:sz w:val="28"/>
          <w:szCs w:val="28"/>
        </w:rPr>
        <w:t>Lay Title:</w:t>
      </w:r>
      <w:r w:rsidRPr="000B7F71">
        <w:rPr>
          <w:sz w:val="28"/>
          <w:szCs w:val="28"/>
        </w:rPr>
        <w:t xml:space="preserve"> </w:t>
      </w:r>
    </w:p>
    <w:p w14:paraId="22754981" w14:textId="3E1B75D7" w:rsidR="000B7F71" w:rsidRDefault="000B7F71" w:rsidP="000B7F71">
      <w:pPr>
        <w:spacing w:after="0" w:line="240" w:lineRule="auto"/>
        <w:jc w:val="both"/>
        <w:rPr>
          <w:sz w:val="24"/>
          <w:szCs w:val="24"/>
        </w:rPr>
      </w:pPr>
      <w:proofErr w:type="spellStart"/>
      <w:r w:rsidRPr="000B7F71">
        <w:rPr>
          <w:sz w:val="24"/>
          <w:szCs w:val="24"/>
        </w:rPr>
        <w:t>Elexacaftor</w:t>
      </w:r>
      <w:proofErr w:type="spellEnd"/>
      <w:r w:rsidRPr="000B7F71">
        <w:rPr>
          <w:sz w:val="24"/>
          <w:szCs w:val="24"/>
        </w:rPr>
        <w:t>-</w:t>
      </w:r>
      <w:proofErr w:type="spellStart"/>
      <w:r w:rsidRPr="000B7F71">
        <w:rPr>
          <w:sz w:val="24"/>
          <w:szCs w:val="24"/>
        </w:rPr>
        <w:t>tezacaftor</w:t>
      </w:r>
      <w:proofErr w:type="spellEnd"/>
      <w:r w:rsidRPr="000B7F71">
        <w:rPr>
          <w:sz w:val="24"/>
          <w:szCs w:val="24"/>
        </w:rPr>
        <w:t xml:space="preserve">-ivacaftor prescription after Lung Transplant </w:t>
      </w:r>
    </w:p>
    <w:p w14:paraId="16CC5133" w14:textId="77777777" w:rsidR="000B7F71" w:rsidRPr="000B7F71" w:rsidRDefault="000B7F71" w:rsidP="000B7F71">
      <w:pPr>
        <w:spacing w:after="0" w:line="240" w:lineRule="auto"/>
        <w:jc w:val="both"/>
        <w:rPr>
          <w:sz w:val="24"/>
          <w:szCs w:val="24"/>
        </w:rPr>
      </w:pPr>
    </w:p>
    <w:p w14:paraId="7FEDDB93" w14:textId="77777777" w:rsidR="000B7F71" w:rsidRPr="000B7F71" w:rsidRDefault="000B7F71" w:rsidP="000B7F71">
      <w:pPr>
        <w:spacing w:after="0" w:line="240" w:lineRule="auto"/>
        <w:jc w:val="both"/>
        <w:rPr>
          <w:b/>
          <w:bCs/>
          <w:sz w:val="28"/>
          <w:szCs w:val="28"/>
        </w:rPr>
      </w:pPr>
      <w:r w:rsidRPr="000B7F71">
        <w:rPr>
          <w:b/>
          <w:bCs/>
          <w:sz w:val="28"/>
          <w:szCs w:val="28"/>
        </w:rPr>
        <w:t xml:space="preserve">Authors: </w:t>
      </w:r>
    </w:p>
    <w:p w14:paraId="0891A758" w14:textId="7D1A95B2" w:rsidR="000B7F71" w:rsidRPr="000B7F71" w:rsidRDefault="000B7F71" w:rsidP="000B7F71">
      <w:pPr>
        <w:spacing w:after="0" w:line="240" w:lineRule="auto"/>
        <w:jc w:val="both"/>
        <w:rPr>
          <w:sz w:val="24"/>
          <w:szCs w:val="24"/>
        </w:rPr>
      </w:pPr>
      <w:r w:rsidRPr="000B7F71">
        <w:rPr>
          <w:sz w:val="24"/>
          <w:szCs w:val="24"/>
        </w:rPr>
        <w:t xml:space="preserve">Nora C. </w:t>
      </w:r>
      <w:proofErr w:type="spellStart"/>
      <w:r w:rsidRPr="000B7F71">
        <w:rPr>
          <w:sz w:val="24"/>
          <w:szCs w:val="24"/>
        </w:rPr>
        <w:t>Burdis</w:t>
      </w:r>
      <w:r w:rsidRPr="000B7F71">
        <w:rPr>
          <w:sz w:val="24"/>
          <w:szCs w:val="24"/>
          <w:vertAlign w:val="superscript"/>
        </w:rPr>
        <w:t>a</w:t>
      </w:r>
      <w:proofErr w:type="spellEnd"/>
      <w:r w:rsidRPr="000B7F71">
        <w:rPr>
          <w:sz w:val="24"/>
          <w:szCs w:val="24"/>
        </w:rPr>
        <w:t xml:space="preserve">, Miranda C. </w:t>
      </w:r>
      <w:proofErr w:type="spellStart"/>
      <w:r w:rsidRPr="000B7F71">
        <w:rPr>
          <w:sz w:val="24"/>
          <w:szCs w:val="24"/>
        </w:rPr>
        <w:t>Bradford</w:t>
      </w:r>
      <w:r w:rsidRPr="000B7F71">
        <w:rPr>
          <w:sz w:val="24"/>
          <w:szCs w:val="24"/>
          <w:vertAlign w:val="superscript"/>
        </w:rPr>
        <w:t>b</w:t>
      </w:r>
      <w:proofErr w:type="spellEnd"/>
      <w:r w:rsidRPr="000B7F71">
        <w:rPr>
          <w:sz w:val="24"/>
          <w:szCs w:val="24"/>
        </w:rPr>
        <w:t xml:space="preserve">, Sonya L. </w:t>
      </w:r>
      <w:proofErr w:type="spellStart"/>
      <w:proofErr w:type="gramStart"/>
      <w:r w:rsidRPr="000B7F71">
        <w:rPr>
          <w:sz w:val="24"/>
          <w:szCs w:val="24"/>
        </w:rPr>
        <w:t>Heltshe</w:t>
      </w:r>
      <w:r w:rsidRPr="000B7F71">
        <w:rPr>
          <w:sz w:val="24"/>
          <w:szCs w:val="24"/>
          <w:vertAlign w:val="superscript"/>
        </w:rPr>
        <w:t>c,d</w:t>
      </w:r>
      <w:proofErr w:type="spellEnd"/>
      <w:proofErr w:type="gramEnd"/>
      <w:r w:rsidRPr="000B7F71">
        <w:rPr>
          <w:sz w:val="24"/>
          <w:szCs w:val="24"/>
        </w:rPr>
        <w:t xml:space="preserve">, Tijana </w:t>
      </w:r>
      <w:proofErr w:type="spellStart"/>
      <w:r w:rsidRPr="000B7F71">
        <w:rPr>
          <w:sz w:val="24"/>
          <w:szCs w:val="24"/>
        </w:rPr>
        <w:t>Milinic</w:t>
      </w:r>
      <w:r w:rsidRPr="000B7F71">
        <w:rPr>
          <w:sz w:val="24"/>
          <w:szCs w:val="24"/>
          <w:vertAlign w:val="superscript"/>
        </w:rPr>
        <w:t>a</w:t>
      </w:r>
      <w:proofErr w:type="spellEnd"/>
      <w:r w:rsidRPr="000B7F71">
        <w:rPr>
          <w:sz w:val="24"/>
          <w:szCs w:val="24"/>
        </w:rPr>
        <w:t>,</w:t>
      </w:r>
    </w:p>
    <w:p w14:paraId="56CD8766" w14:textId="77777777" w:rsidR="000B7F71" w:rsidRPr="000B7F71" w:rsidRDefault="000B7F71" w:rsidP="000B7F71">
      <w:pPr>
        <w:spacing w:after="0" w:line="240" w:lineRule="auto"/>
        <w:jc w:val="both"/>
        <w:rPr>
          <w:sz w:val="24"/>
          <w:szCs w:val="24"/>
        </w:rPr>
      </w:pPr>
      <w:r w:rsidRPr="000B7F71">
        <w:rPr>
          <w:sz w:val="24"/>
          <w:szCs w:val="24"/>
        </w:rPr>
        <w:t xml:space="preserve">Oliver J. </w:t>
      </w:r>
      <w:proofErr w:type="spellStart"/>
      <w:r w:rsidRPr="000B7F71">
        <w:rPr>
          <w:sz w:val="24"/>
          <w:szCs w:val="24"/>
        </w:rPr>
        <w:t>McElvaney</w:t>
      </w:r>
      <w:r w:rsidRPr="000B7F71">
        <w:rPr>
          <w:sz w:val="24"/>
          <w:szCs w:val="24"/>
          <w:vertAlign w:val="superscript"/>
        </w:rPr>
        <w:t>a</w:t>
      </w:r>
      <w:proofErr w:type="spellEnd"/>
      <w:r w:rsidRPr="000B7F71">
        <w:rPr>
          <w:sz w:val="24"/>
          <w:szCs w:val="24"/>
        </w:rPr>
        <w:t xml:space="preserve">, Erika D. </w:t>
      </w:r>
      <w:proofErr w:type="spellStart"/>
      <w:r w:rsidRPr="000B7F71">
        <w:rPr>
          <w:sz w:val="24"/>
          <w:szCs w:val="24"/>
        </w:rPr>
        <w:t>Lease</w:t>
      </w:r>
      <w:r w:rsidRPr="000B7F71">
        <w:rPr>
          <w:sz w:val="24"/>
          <w:szCs w:val="24"/>
          <w:vertAlign w:val="superscript"/>
        </w:rPr>
        <w:t>a</w:t>
      </w:r>
      <w:proofErr w:type="spellEnd"/>
      <w:r w:rsidRPr="000B7F71">
        <w:rPr>
          <w:sz w:val="24"/>
          <w:szCs w:val="24"/>
        </w:rPr>
        <w:t xml:space="preserve">, Christopher H. </w:t>
      </w:r>
      <w:proofErr w:type="spellStart"/>
      <w:proofErr w:type="gramStart"/>
      <w:r w:rsidRPr="000B7F71">
        <w:rPr>
          <w:sz w:val="24"/>
          <w:szCs w:val="24"/>
        </w:rPr>
        <w:t>Goss</w:t>
      </w:r>
      <w:r w:rsidRPr="000B7F71">
        <w:rPr>
          <w:sz w:val="24"/>
          <w:szCs w:val="24"/>
          <w:vertAlign w:val="superscript"/>
        </w:rPr>
        <w:t>a,c</w:t>
      </w:r>
      <w:proofErr w:type="gramEnd"/>
      <w:r w:rsidRPr="000B7F71">
        <w:rPr>
          <w:sz w:val="24"/>
          <w:szCs w:val="24"/>
          <w:vertAlign w:val="superscript"/>
        </w:rPr>
        <w:t>,d</w:t>
      </w:r>
      <w:proofErr w:type="spellEnd"/>
      <w:r w:rsidRPr="000B7F71">
        <w:rPr>
          <w:sz w:val="24"/>
          <w:szCs w:val="24"/>
        </w:rPr>
        <w:t xml:space="preserve">, Siddhartha G. </w:t>
      </w:r>
      <w:proofErr w:type="spellStart"/>
      <w:r w:rsidRPr="000B7F71">
        <w:rPr>
          <w:sz w:val="24"/>
          <w:szCs w:val="24"/>
        </w:rPr>
        <w:t>Kapnadak</w:t>
      </w:r>
      <w:r w:rsidRPr="000B7F71">
        <w:rPr>
          <w:sz w:val="24"/>
          <w:szCs w:val="24"/>
          <w:vertAlign w:val="superscript"/>
        </w:rPr>
        <w:t>a</w:t>
      </w:r>
      <w:proofErr w:type="spellEnd"/>
      <w:r w:rsidRPr="000B7F71">
        <w:rPr>
          <w:sz w:val="24"/>
          <w:szCs w:val="24"/>
        </w:rPr>
        <w:t>,</w:t>
      </w:r>
    </w:p>
    <w:p w14:paraId="25D0493F" w14:textId="77777777" w:rsidR="000B7F71" w:rsidRDefault="000B7F71" w:rsidP="000B7F71">
      <w:pPr>
        <w:spacing w:after="0" w:line="240" w:lineRule="auto"/>
        <w:jc w:val="both"/>
        <w:rPr>
          <w:sz w:val="24"/>
          <w:szCs w:val="24"/>
          <w:vertAlign w:val="superscript"/>
        </w:rPr>
      </w:pPr>
      <w:r w:rsidRPr="000B7F71">
        <w:rPr>
          <w:sz w:val="24"/>
          <w:szCs w:val="24"/>
        </w:rPr>
        <w:t xml:space="preserve">Brandon L. </w:t>
      </w:r>
      <w:proofErr w:type="spellStart"/>
      <w:r w:rsidRPr="000B7F71">
        <w:rPr>
          <w:sz w:val="24"/>
          <w:szCs w:val="24"/>
        </w:rPr>
        <w:t>Guthrie</w:t>
      </w:r>
      <w:r w:rsidRPr="000B7F71">
        <w:rPr>
          <w:sz w:val="24"/>
          <w:szCs w:val="24"/>
          <w:vertAlign w:val="superscript"/>
        </w:rPr>
        <w:t>e</w:t>
      </w:r>
      <w:proofErr w:type="spellEnd"/>
      <w:r w:rsidRPr="000B7F71">
        <w:rPr>
          <w:sz w:val="24"/>
          <w:szCs w:val="24"/>
        </w:rPr>
        <w:t xml:space="preserve">, Kathleen J. </w:t>
      </w:r>
      <w:proofErr w:type="spellStart"/>
      <w:proofErr w:type="gramStart"/>
      <w:r w:rsidRPr="000B7F71">
        <w:rPr>
          <w:sz w:val="24"/>
          <w:szCs w:val="24"/>
        </w:rPr>
        <w:t>Ramos</w:t>
      </w:r>
      <w:r w:rsidRPr="000B7F71">
        <w:rPr>
          <w:sz w:val="24"/>
          <w:szCs w:val="24"/>
          <w:vertAlign w:val="superscript"/>
        </w:rPr>
        <w:t>a,d</w:t>
      </w:r>
      <w:proofErr w:type="spellEnd"/>
      <w:proofErr w:type="gramEnd"/>
    </w:p>
    <w:p w14:paraId="2407258C" w14:textId="77777777" w:rsidR="000B7F71" w:rsidRPr="000B7F71" w:rsidRDefault="000B7F71" w:rsidP="000B7F71">
      <w:pPr>
        <w:spacing w:after="0" w:line="240" w:lineRule="auto"/>
        <w:jc w:val="both"/>
        <w:rPr>
          <w:sz w:val="24"/>
          <w:szCs w:val="24"/>
        </w:rPr>
      </w:pPr>
    </w:p>
    <w:p w14:paraId="4296ACA9" w14:textId="77777777" w:rsidR="000B7F71" w:rsidRPr="000B7F71" w:rsidRDefault="000B7F71" w:rsidP="000B7F71">
      <w:pPr>
        <w:spacing w:after="0" w:line="240" w:lineRule="auto"/>
        <w:jc w:val="both"/>
        <w:rPr>
          <w:b/>
          <w:bCs/>
          <w:sz w:val="28"/>
          <w:szCs w:val="28"/>
        </w:rPr>
      </w:pPr>
      <w:r w:rsidRPr="000B7F71">
        <w:rPr>
          <w:b/>
          <w:bCs/>
          <w:sz w:val="28"/>
          <w:szCs w:val="28"/>
        </w:rPr>
        <w:t xml:space="preserve">Affiliations: </w:t>
      </w:r>
    </w:p>
    <w:p w14:paraId="296AA0C5" w14:textId="77777777" w:rsidR="000B7F71" w:rsidRPr="000B7F71" w:rsidRDefault="000B7F71" w:rsidP="000B7F71">
      <w:pPr>
        <w:spacing w:after="0" w:line="240" w:lineRule="auto"/>
        <w:jc w:val="both"/>
        <w:rPr>
          <w:sz w:val="24"/>
          <w:szCs w:val="24"/>
        </w:rPr>
      </w:pPr>
      <w:r w:rsidRPr="000B7F71">
        <w:rPr>
          <w:sz w:val="24"/>
          <w:szCs w:val="24"/>
        </w:rPr>
        <w:t>a. Division of Pulmonary, Critical Care, and Sleep Medicine, Department of Medicine, University of Washington, Seattle WA, United States</w:t>
      </w:r>
    </w:p>
    <w:p w14:paraId="7AA66314" w14:textId="77777777" w:rsidR="000B7F71" w:rsidRPr="000B7F71" w:rsidRDefault="000B7F71" w:rsidP="000B7F71">
      <w:pPr>
        <w:spacing w:after="0" w:line="240" w:lineRule="auto"/>
        <w:jc w:val="both"/>
        <w:rPr>
          <w:sz w:val="24"/>
          <w:szCs w:val="24"/>
        </w:rPr>
      </w:pPr>
      <w:r w:rsidRPr="000B7F71">
        <w:rPr>
          <w:sz w:val="24"/>
          <w:szCs w:val="24"/>
        </w:rPr>
        <w:t>b. Seattle Children’s Research Institute, Biostatics Epidemiology and Analytics in Research (BEAR) Core, Seattle, WA, United States</w:t>
      </w:r>
    </w:p>
    <w:p w14:paraId="5C33FB56" w14:textId="77777777" w:rsidR="000B7F71" w:rsidRPr="000B7F71" w:rsidRDefault="000B7F71" w:rsidP="000B7F71">
      <w:pPr>
        <w:spacing w:after="0" w:line="240" w:lineRule="auto"/>
        <w:jc w:val="both"/>
        <w:rPr>
          <w:sz w:val="24"/>
          <w:szCs w:val="24"/>
        </w:rPr>
      </w:pPr>
      <w:r w:rsidRPr="000B7F71">
        <w:rPr>
          <w:sz w:val="24"/>
          <w:szCs w:val="24"/>
        </w:rPr>
        <w:t xml:space="preserve">c. Division of Pulmonary and Allergy, Department of </w:t>
      </w:r>
      <w:proofErr w:type="spellStart"/>
      <w:r w:rsidRPr="000B7F71">
        <w:rPr>
          <w:sz w:val="24"/>
          <w:szCs w:val="24"/>
        </w:rPr>
        <w:t>Pediatrics</w:t>
      </w:r>
      <w:proofErr w:type="spellEnd"/>
      <w:r w:rsidRPr="000B7F71">
        <w:rPr>
          <w:sz w:val="24"/>
          <w:szCs w:val="24"/>
        </w:rPr>
        <w:t>, University of Washington, Seattle WA, United States</w:t>
      </w:r>
    </w:p>
    <w:p w14:paraId="513E02DC" w14:textId="77777777" w:rsidR="000B7F71" w:rsidRPr="000B7F71" w:rsidRDefault="000B7F71" w:rsidP="000B7F71">
      <w:pPr>
        <w:spacing w:after="0" w:line="240" w:lineRule="auto"/>
        <w:jc w:val="both"/>
        <w:rPr>
          <w:sz w:val="24"/>
          <w:szCs w:val="24"/>
        </w:rPr>
      </w:pPr>
      <w:r w:rsidRPr="000B7F71">
        <w:rPr>
          <w:sz w:val="24"/>
          <w:szCs w:val="24"/>
        </w:rPr>
        <w:t>d. CFF TDNCC Seattle Children’s Research Institute, Seattle, WA, United States</w:t>
      </w:r>
    </w:p>
    <w:p w14:paraId="53008BFC" w14:textId="77777777" w:rsidR="000B7F71" w:rsidRDefault="000B7F71" w:rsidP="000B7F71">
      <w:pPr>
        <w:spacing w:after="0" w:line="240" w:lineRule="auto"/>
        <w:jc w:val="both"/>
        <w:rPr>
          <w:sz w:val="24"/>
          <w:szCs w:val="24"/>
        </w:rPr>
      </w:pPr>
      <w:r w:rsidRPr="000B7F71">
        <w:rPr>
          <w:sz w:val="24"/>
          <w:szCs w:val="24"/>
        </w:rPr>
        <w:t>e. School of Public Health, Department of Global Health, University of Washington, Seattle, WA, United States</w:t>
      </w:r>
    </w:p>
    <w:p w14:paraId="21985219" w14:textId="77777777" w:rsidR="000B7F71" w:rsidRPr="000B7F71" w:rsidRDefault="000B7F71" w:rsidP="000B7F71">
      <w:pPr>
        <w:spacing w:after="0" w:line="240" w:lineRule="auto"/>
        <w:jc w:val="both"/>
        <w:rPr>
          <w:sz w:val="24"/>
          <w:szCs w:val="24"/>
        </w:rPr>
      </w:pPr>
    </w:p>
    <w:p w14:paraId="5707291F" w14:textId="77777777" w:rsidR="000B7F71" w:rsidRPr="000B7F71" w:rsidRDefault="000B7F71" w:rsidP="000B7F71">
      <w:pPr>
        <w:spacing w:after="0" w:line="240" w:lineRule="auto"/>
        <w:jc w:val="both"/>
        <w:rPr>
          <w:b/>
          <w:bCs/>
          <w:sz w:val="28"/>
          <w:szCs w:val="28"/>
        </w:rPr>
      </w:pPr>
      <w:r w:rsidRPr="000B7F71">
        <w:rPr>
          <w:b/>
          <w:bCs/>
          <w:sz w:val="28"/>
          <w:szCs w:val="28"/>
        </w:rPr>
        <w:t>What was your research question?</w:t>
      </w:r>
    </w:p>
    <w:p w14:paraId="48C17DA7" w14:textId="77777777" w:rsidR="000B7F71" w:rsidRDefault="000B7F71" w:rsidP="000B7F71">
      <w:pPr>
        <w:spacing w:after="0" w:line="240" w:lineRule="auto"/>
        <w:jc w:val="both"/>
        <w:rPr>
          <w:sz w:val="24"/>
          <w:szCs w:val="24"/>
        </w:rPr>
      </w:pPr>
      <w:proofErr w:type="spellStart"/>
      <w:r w:rsidRPr="000B7F71">
        <w:rPr>
          <w:sz w:val="24"/>
          <w:szCs w:val="24"/>
        </w:rPr>
        <w:t>Elexacaftor</w:t>
      </w:r>
      <w:proofErr w:type="spellEnd"/>
      <w:r w:rsidRPr="000B7F71">
        <w:rPr>
          <w:sz w:val="24"/>
          <w:szCs w:val="24"/>
        </w:rPr>
        <w:t>-</w:t>
      </w:r>
      <w:proofErr w:type="spellStart"/>
      <w:r w:rsidRPr="000B7F71">
        <w:rPr>
          <w:sz w:val="24"/>
          <w:szCs w:val="24"/>
        </w:rPr>
        <w:t>tezacaftor</w:t>
      </w:r>
      <w:proofErr w:type="spellEnd"/>
      <w:r w:rsidRPr="000B7F71">
        <w:rPr>
          <w:sz w:val="24"/>
          <w:szCs w:val="24"/>
        </w:rPr>
        <w:t>-ivacaftor (ETI) has improved the health of many people with CF because it corrects problems in the CF transmembrane conductance regulator (CFTR) protein, which is the cause of CF disease. We wanted to know how often people with CF were being prescribed ETI, also known as “</w:t>
      </w:r>
      <w:proofErr w:type="spellStart"/>
      <w:r w:rsidRPr="000B7F71">
        <w:rPr>
          <w:sz w:val="24"/>
          <w:szCs w:val="24"/>
        </w:rPr>
        <w:t>Trikafta</w:t>
      </w:r>
      <w:proofErr w:type="spellEnd"/>
      <w:r w:rsidRPr="000B7F71">
        <w:rPr>
          <w:sz w:val="24"/>
          <w:szCs w:val="24"/>
        </w:rPr>
        <w:t xml:space="preserve">”, after lung transplantation.  </w:t>
      </w:r>
    </w:p>
    <w:p w14:paraId="650D2167" w14:textId="77777777" w:rsidR="000B7F71" w:rsidRPr="000B7F71" w:rsidRDefault="000B7F71" w:rsidP="000B7F71">
      <w:pPr>
        <w:spacing w:after="0" w:line="240" w:lineRule="auto"/>
        <w:jc w:val="both"/>
        <w:rPr>
          <w:sz w:val="24"/>
          <w:szCs w:val="24"/>
        </w:rPr>
      </w:pPr>
    </w:p>
    <w:p w14:paraId="41FE3F04" w14:textId="77777777" w:rsidR="000B7F71" w:rsidRPr="000B7F71" w:rsidRDefault="000B7F71" w:rsidP="000B7F71">
      <w:pPr>
        <w:spacing w:after="0" w:line="240" w:lineRule="auto"/>
        <w:jc w:val="both"/>
        <w:rPr>
          <w:b/>
          <w:bCs/>
          <w:sz w:val="28"/>
          <w:szCs w:val="28"/>
        </w:rPr>
      </w:pPr>
      <w:r w:rsidRPr="000B7F71">
        <w:rPr>
          <w:b/>
          <w:bCs/>
          <w:sz w:val="28"/>
          <w:szCs w:val="28"/>
        </w:rPr>
        <w:t>Why is this important?</w:t>
      </w:r>
    </w:p>
    <w:p w14:paraId="51C46401" w14:textId="77777777" w:rsidR="000B7F71" w:rsidRDefault="000B7F71" w:rsidP="000B7F71">
      <w:pPr>
        <w:spacing w:after="0" w:line="240" w:lineRule="auto"/>
        <w:jc w:val="both"/>
        <w:rPr>
          <w:sz w:val="24"/>
          <w:szCs w:val="24"/>
        </w:rPr>
      </w:pPr>
      <w:r w:rsidRPr="000B7F71">
        <w:rPr>
          <w:sz w:val="24"/>
          <w:szCs w:val="24"/>
        </w:rPr>
        <w:t xml:space="preserve">ETI is well-known for its pulmonary benefits.  People who have received a lung transplant no longer have abnormal CFTR protein in their lungs.  However, they do still have abnormal CFTR protein in their sinuses and GI tract.  ETI improves sinus, nutrition, and GI health for some people with CF.  ETI has not been well studied in people who have lung transplants.  Many people are interested in whether ETI can improve the health of transplant recipients with CF.  </w:t>
      </w:r>
      <w:r w:rsidRPr="000B7F71">
        <w:rPr>
          <w:sz w:val="24"/>
          <w:szCs w:val="24"/>
        </w:rPr>
        <w:lastRenderedPageBreak/>
        <w:t xml:space="preserve">There are also concerns about people with lung transplants taking ETI including the potential for side effects and drug interactions with transplant medicines.  </w:t>
      </w:r>
    </w:p>
    <w:p w14:paraId="51C4C248" w14:textId="77777777" w:rsidR="000B7F71" w:rsidRPr="000B7F71" w:rsidRDefault="000B7F71" w:rsidP="000B7F71">
      <w:pPr>
        <w:spacing w:after="0" w:line="240" w:lineRule="auto"/>
        <w:jc w:val="both"/>
        <w:rPr>
          <w:sz w:val="24"/>
          <w:szCs w:val="24"/>
        </w:rPr>
      </w:pPr>
    </w:p>
    <w:p w14:paraId="763D5540" w14:textId="77777777" w:rsidR="000B7F71" w:rsidRPr="000B7F71" w:rsidRDefault="000B7F71" w:rsidP="000B7F71">
      <w:pPr>
        <w:spacing w:after="0" w:line="240" w:lineRule="auto"/>
        <w:jc w:val="both"/>
        <w:rPr>
          <w:b/>
          <w:bCs/>
          <w:sz w:val="28"/>
          <w:szCs w:val="28"/>
        </w:rPr>
      </w:pPr>
      <w:r w:rsidRPr="000B7F71">
        <w:rPr>
          <w:b/>
          <w:bCs/>
          <w:sz w:val="28"/>
          <w:szCs w:val="28"/>
        </w:rPr>
        <w:t>What did you do?</w:t>
      </w:r>
    </w:p>
    <w:p w14:paraId="29FC5EC1" w14:textId="77777777" w:rsidR="000B7F71" w:rsidRDefault="000B7F71" w:rsidP="000B7F71">
      <w:pPr>
        <w:spacing w:after="0" w:line="240" w:lineRule="auto"/>
        <w:jc w:val="both"/>
        <w:rPr>
          <w:sz w:val="24"/>
          <w:szCs w:val="24"/>
        </w:rPr>
      </w:pPr>
      <w:r w:rsidRPr="000B7F71">
        <w:rPr>
          <w:sz w:val="24"/>
          <w:szCs w:val="24"/>
        </w:rPr>
        <w:t xml:space="preserve">We partnered with the Cystic Fibrosis Foundation Patient Registry, which includes health information about many people with CF in the United States.  We determined the proportion of people in the registry who were on ETI after their lung transplant.  We also wanted to understand what factors increase or decrease the likelihood of being prescribed ETI after lung transplant.  We specifically assessed how health conditions like sinus disease and diabetes, certain demographics, and CF </w:t>
      </w:r>
      <w:proofErr w:type="spellStart"/>
      <w:r w:rsidRPr="000B7F71">
        <w:rPr>
          <w:sz w:val="24"/>
          <w:szCs w:val="24"/>
        </w:rPr>
        <w:t>center</w:t>
      </w:r>
      <w:proofErr w:type="spellEnd"/>
      <w:r w:rsidRPr="000B7F71">
        <w:rPr>
          <w:sz w:val="24"/>
          <w:szCs w:val="24"/>
        </w:rPr>
        <w:t xml:space="preserve"> prescribing patterns influenced the likelihood of receiving ETI prescription after lung transplant.  </w:t>
      </w:r>
    </w:p>
    <w:p w14:paraId="2B43FF34" w14:textId="77777777" w:rsidR="000B7F71" w:rsidRPr="000B7F71" w:rsidRDefault="000B7F71" w:rsidP="000B7F71">
      <w:pPr>
        <w:spacing w:after="0" w:line="240" w:lineRule="auto"/>
        <w:jc w:val="both"/>
        <w:rPr>
          <w:sz w:val="24"/>
          <w:szCs w:val="24"/>
        </w:rPr>
      </w:pPr>
    </w:p>
    <w:p w14:paraId="51CBD82C" w14:textId="77777777" w:rsidR="000B7F71" w:rsidRPr="000B7F71" w:rsidRDefault="000B7F71" w:rsidP="000B7F71">
      <w:pPr>
        <w:spacing w:after="0" w:line="240" w:lineRule="auto"/>
        <w:jc w:val="both"/>
        <w:rPr>
          <w:b/>
          <w:bCs/>
          <w:sz w:val="28"/>
          <w:szCs w:val="28"/>
        </w:rPr>
      </w:pPr>
      <w:r w:rsidRPr="000B7F71">
        <w:rPr>
          <w:b/>
          <w:bCs/>
          <w:sz w:val="28"/>
          <w:szCs w:val="28"/>
        </w:rPr>
        <w:t>What did you find?</w:t>
      </w:r>
    </w:p>
    <w:p w14:paraId="1430E375" w14:textId="77777777" w:rsidR="000B7F71" w:rsidRDefault="000B7F71" w:rsidP="000B7F71">
      <w:pPr>
        <w:spacing w:after="0" w:line="240" w:lineRule="auto"/>
        <w:jc w:val="both"/>
        <w:rPr>
          <w:sz w:val="24"/>
          <w:szCs w:val="24"/>
        </w:rPr>
      </w:pPr>
      <w:r w:rsidRPr="000B7F71">
        <w:rPr>
          <w:sz w:val="24"/>
          <w:szCs w:val="24"/>
        </w:rPr>
        <w:t xml:space="preserve">We found that 29% of people with CF in the registry who had genotypes eligible for ETI were prescribed ETI after receiving a lung transplant.  Sinus disease and low BMI were associated with an increased likelihood of ETI prescription after transplant.  Having a genotype with zero copies of the </w:t>
      </w:r>
      <w:r w:rsidRPr="000B7F71">
        <w:rPr>
          <w:i/>
          <w:iCs/>
          <w:sz w:val="24"/>
          <w:szCs w:val="24"/>
        </w:rPr>
        <w:t xml:space="preserve">F508del </w:t>
      </w:r>
      <w:r w:rsidRPr="000B7F71">
        <w:rPr>
          <w:sz w:val="24"/>
          <w:szCs w:val="24"/>
        </w:rPr>
        <w:t xml:space="preserve">CFTR allele and receiving care at a low-prescribing or small CF </w:t>
      </w:r>
      <w:proofErr w:type="spellStart"/>
      <w:r w:rsidRPr="000B7F71">
        <w:rPr>
          <w:sz w:val="24"/>
          <w:szCs w:val="24"/>
        </w:rPr>
        <w:t>center</w:t>
      </w:r>
      <w:proofErr w:type="spellEnd"/>
      <w:r w:rsidRPr="000B7F71">
        <w:rPr>
          <w:sz w:val="24"/>
          <w:szCs w:val="24"/>
        </w:rPr>
        <w:t xml:space="preserve"> were associated with a decreased likelihood of ETI prescription.  Demographics such as race, ethnicity, and insurance type did not appear to influence the likelihood of ETI prescription after lung transplant.   </w:t>
      </w:r>
    </w:p>
    <w:p w14:paraId="6E5BE5F7" w14:textId="77777777" w:rsidR="000B7F71" w:rsidRPr="000B7F71" w:rsidRDefault="000B7F71" w:rsidP="000B7F71">
      <w:pPr>
        <w:spacing w:after="0" w:line="240" w:lineRule="auto"/>
        <w:jc w:val="both"/>
        <w:rPr>
          <w:sz w:val="24"/>
          <w:szCs w:val="24"/>
        </w:rPr>
      </w:pPr>
    </w:p>
    <w:p w14:paraId="3292C051" w14:textId="77777777" w:rsidR="000B7F71" w:rsidRPr="000B7F71" w:rsidRDefault="000B7F71" w:rsidP="000B7F71">
      <w:pPr>
        <w:spacing w:after="0" w:line="240" w:lineRule="auto"/>
        <w:jc w:val="both"/>
        <w:rPr>
          <w:b/>
          <w:bCs/>
          <w:sz w:val="28"/>
          <w:szCs w:val="28"/>
        </w:rPr>
      </w:pPr>
      <w:r w:rsidRPr="000B7F71">
        <w:rPr>
          <w:b/>
          <w:bCs/>
          <w:sz w:val="28"/>
          <w:szCs w:val="28"/>
        </w:rPr>
        <w:t>What does this mean and reasons for caution?</w:t>
      </w:r>
    </w:p>
    <w:p w14:paraId="42E8C1D6" w14:textId="77777777" w:rsidR="000B7F71" w:rsidRDefault="000B7F71" w:rsidP="000B7F71">
      <w:pPr>
        <w:spacing w:after="0" w:line="240" w:lineRule="auto"/>
        <w:jc w:val="both"/>
        <w:rPr>
          <w:sz w:val="24"/>
          <w:szCs w:val="24"/>
        </w:rPr>
      </w:pPr>
      <w:r w:rsidRPr="000B7F71">
        <w:rPr>
          <w:sz w:val="24"/>
          <w:szCs w:val="24"/>
        </w:rPr>
        <w:t xml:space="preserve">In our study, we found a significant number of lung transplant recipients in the U.S. have been prescribed ETI after transplant.  However, this study does not tell us whether ETI use after lung transplantation is good for health.  It is possible that as we better understand the health impacts of using ETI after lung transplant that prescribing patterns of ETI may change in the future.    </w:t>
      </w:r>
    </w:p>
    <w:p w14:paraId="40C3950E" w14:textId="77777777" w:rsidR="000B7F71" w:rsidRPr="000B7F71" w:rsidRDefault="000B7F71" w:rsidP="000B7F71">
      <w:pPr>
        <w:spacing w:after="0" w:line="240" w:lineRule="auto"/>
        <w:jc w:val="both"/>
        <w:rPr>
          <w:sz w:val="24"/>
          <w:szCs w:val="24"/>
        </w:rPr>
      </w:pPr>
    </w:p>
    <w:p w14:paraId="7661037C" w14:textId="77777777" w:rsidR="000B7F71" w:rsidRPr="000B7F71" w:rsidRDefault="000B7F71" w:rsidP="000B7F71">
      <w:pPr>
        <w:spacing w:after="0" w:line="240" w:lineRule="auto"/>
        <w:jc w:val="both"/>
        <w:rPr>
          <w:b/>
          <w:bCs/>
          <w:sz w:val="28"/>
          <w:szCs w:val="28"/>
        </w:rPr>
      </w:pPr>
      <w:r w:rsidRPr="000B7F71">
        <w:rPr>
          <w:b/>
          <w:bCs/>
          <w:sz w:val="28"/>
          <w:szCs w:val="28"/>
        </w:rPr>
        <w:t>What’s next?</w:t>
      </w:r>
    </w:p>
    <w:p w14:paraId="2F144FFD" w14:textId="77777777" w:rsidR="004E22AD" w:rsidRDefault="000B7F71" w:rsidP="000B7F71">
      <w:pPr>
        <w:spacing w:after="0" w:line="240" w:lineRule="auto"/>
        <w:jc w:val="both"/>
        <w:rPr>
          <w:sz w:val="24"/>
          <w:szCs w:val="24"/>
        </w:rPr>
      </w:pPr>
      <w:r w:rsidRPr="000B7F71">
        <w:rPr>
          <w:sz w:val="24"/>
          <w:szCs w:val="24"/>
        </w:rPr>
        <w:t xml:space="preserve">More research is needed to understand the potential health benefits and/or harms of taking ETI after lung transplant. </w:t>
      </w:r>
    </w:p>
    <w:p w14:paraId="6A0B49DA" w14:textId="77777777" w:rsidR="004E22AD" w:rsidRDefault="004E22AD" w:rsidP="000B7F71">
      <w:pPr>
        <w:spacing w:after="0" w:line="240" w:lineRule="auto"/>
        <w:jc w:val="both"/>
        <w:rPr>
          <w:sz w:val="24"/>
          <w:szCs w:val="24"/>
        </w:rPr>
      </w:pPr>
    </w:p>
    <w:p w14:paraId="5F87B51A" w14:textId="77777777" w:rsidR="004E22AD" w:rsidRPr="004E22AD" w:rsidRDefault="004E22AD" w:rsidP="000B7F71">
      <w:pPr>
        <w:spacing w:after="0" w:line="240" w:lineRule="auto"/>
        <w:jc w:val="both"/>
        <w:rPr>
          <w:b/>
          <w:bCs/>
          <w:sz w:val="28"/>
          <w:szCs w:val="28"/>
        </w:rPr>
      </w:pPr>
      <w:r w:rsidRPr="004E22AD">
        <w:rPr>
          <w:b/>
          <w:bCs/>
          <w:sz w:val="28"/>
          <w:szCs w:val="28"/>
        </w:rPr>
        <w:t>Original manuscript citation in PubMed</w:t>
      </w:r>
    </w:p>
    <w:p w14:paraId="665ABE18" w14:textId="04B139C1" w:rsidR="004E22AD" w:rsidRDefault="004E22AD" w:rsidP="000B7F71">
      <w:pPr>
        <w:spacing w:after="0" w:line="240" w:lineRule="auto"/>
        <w:jc w:val="both"/>
        <w:rPr>
          <w:sz w:val="24"/>
          <w:szCs w:val="24"/>
        </w:rPr>
      </w:pPr>
      <w:hyperlink r:id="rId6" w:history="1">
        <w:r w:rsidRPr="00F03FA6">
          <w:rPr>
            <w:rStyle w:val="Hyperlink"/>
            <w:sz w:val="24"/>
            <w:szCs w:val="24"/>
          </w:rPr>
          <w:t>https://pubmed.ncbi.nlm.nih.gov/40603159/</w:t>
        </w:r>
      </w:hyperlink>
    </w:p>
    <w:p w14:paraId="02CF9699" w14:textId="2B047DCC" w:rsidR="000B7F71" w:rsidRPr="000B7F71" w:rsidRDefault="000B7F71" w:rsidP="000B7F71">
      <w:pPr>
        <w:spacing w:after="0" w:line="240" w:lineRule="auto"/>
        <w:jc w:val="both"/>
        <w:rPr>
          <w:sz w:val="24"/>
          <w:szCs w:val="24"/>
        </w:rPr>
      </w:pPr>
      <w:r w:rsidRPr="000B7F71">
        <w:rPr>
          <w:sz w:val="24"/>
          <w:szCs w:val="24"/>
        </w:rPr>
        <w:t xml:space="preserve"> </w:t>
      </w:r>
    </w:p>
    <w:p w14:paraId="7FC0C7DC" w14:textId="77777777" w:rsidR="00540382" w:rsidRPr="000B7F71" w:rsidRDefault="00540382" w:rsidP="000B7F71">
      <w:pPr>
        <w:spacing w:after="0" w:line="240" w:lineRule="auto"/>
        <w:jc w:val="both"/>
        <w:rPr>
          <w:bCs/>
          <w:sz w:val="24"/>
          <w:szCs w:val="24"/>
        </w:rPr>
      </w:pPr>
    </w:p>
    <w:sectPr w:rsidR="00540382" w:rsidRPr="000B7F7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F12D6" w14:textId="77777777" w:rsidR="008F3945" w:rsidRDefault="008F3945" w:rsidP="008B1278">
      <w:pPr>
        <w:spacing w:after="0" w:line="240" w:lineRule="auto"/>
      </w:pPr>
      <w:r>
        <w:separator/>
      </w:r>
    </w:p>
  </w:endnote>
  <w:endnote w:type="continuationSeparator" w:id="0">
    <w:p w14:paraId="7D86998E" w14:textId="77777777" w:rsidR="008F3945" w:rsidRDefault="008F3945" w:rsidP="008B1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287E2" w14:textId="77777777" w:rsidR="008B1278" w:rsidRDefault="008B12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3ECC9" w14:textId="77777777" w:rsidR="00D36FED" w:rsidRDefault="00717EB1">
    <w:pPr>
      <w:pStyle w:val="Footer"/>
    </w:pPr>
    <w:r>
      <w:rPr>
        <w:rFonts w:ascii="Palatino Linotype" w:hAnsi="Palatino Linotype"/>
        <w:b/>
        <w:sz w:val="40"/>
        <w:szCs w:val="40"/>
      </w:rPr>
      <w:ptab w:relativeTo="margin" w:alignment="right" w:leader="none"/>
    </w:r>
    <w:r w:rsidR="00D36FED">
      <w:rPr>
        <w:rFonts w:ascii="Palatino Linotype" w:hAnsi="Palatino Linotype"/>
        <w:b/>
        <w:sz w:val="40"/>
        <w:szCs w:val="40"/>
      </w:rPr>
      <w:ptab w:relativeTo="margin" w:alignment="center" w:leader="none"/>
    </w:r>
    <w:r w:rsidRPr="00717EB1">
      <w:rPr>
        <w:rFonts w:ascii="Palatino Linotype" w:hAnsi="Palatino Linotype"/>
        <w:b/>
        <w:sz w:val="40"/>
        <w:szCs w:val="40"/>
      </w:rPr>
      <w:t>Cystic Fibrosis Research News</w:t>
    </w:r>
    <w:r>
      <w:t xml:space="preserve">  </w:t>
    </w:r>
  </w:p>
  <w:p w14:paraId="44CFC92A" w14:textId="77777777" w:rsidR="00717EB1" w:rsidRDefault="00D36FED">
    <w:pPr>
      <w:pStyle w:val="Footer"/>
    </w:pPr>
    <w:r>
      <w:ptab w:relativeTo="margin" w:alignment="center" w:leader="none"/>
    </w:r>
    <w:hyperlink r:id="rId1" w:history="1">
      <w:r w:rsidR="00717EB1" w:rsidRPr="0085653A">
        <w:rPr>
          <w:rStyle w:val="Hyperlink"/>
        </w:rPr>
        <w:t>cfresearchnews@gmail.com</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F774F" w14:textId="77777777" w:rsidR="008B1278" w:rsidRDefault="008B12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AD4ED" w14:textId="77777777" w:rsidR="008F3945" w:rsidRDefault="008F3945" w:rsidP="008B1278">
      <w:pPr>
        <w:spacing w:after="0" w:line="240" w:lineRule="auto"/>
      </w:pPr>
      <w:r>
        <w:separator/>
      </w:r>
    </w:p>
  </w:footnote>
  <w:footnote w:type="continuationSeparator" w:id="0">
    <w:p w14:paraId="6CB5D31B" w14:textId="77777777" w:rsidR="008F3945" w:rsidRDefault="008F3945" w:rsidP="008B1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028BA" w14:textId="77777777" w:rsidR="008B1278" w:rsidRDefault="008B12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28542" w14:textId="77777777" w:rsidR="008B1278" w:rsidRDefault="008B1278">
    <w:pPr>
      <w:pStyle w:val="Header"/>
    </w:pPr>
    <w:r>
      <w:t xml:space="preserve"> </w:t>
    </w:r>
    <w:r>
      <w:rPr>
        <w:noProof/>
        <w:lang w:eastAsia="en-AU"/>
      </w:rPr>
      <w:drawing>
        <wp:inline distT="0" distB="0" distL="0" distR="0" wp14:anchorId="3761F59D" wp14:editId="441865FF">
          <wp:extent cx="2237426" cy="9998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cs.png"/>
                  <pic:cNvPicPr/>
                </pic:nvPicPr>
                <pic:blipFill>
                  <a:blip r:embed="rId1">
                    <a:extLst>
                      <a:ext uri="{28A0092B-C50C-407E-A947-70E740481C1C}">
                        <a14:useLocalDpi xmlns:a14="http://schemas.microsoft.com/office/drawing/2010/main" val="0"/>
                      </a:ext>
                    </a:extLst>
                  </a:blip>
                  <a:stretch>
                    <a:fillRect/>
                  </a:stretch>
                </pic:blipFill>
                <pic:spPr>
                  <a:xfrm>
                    <a:off x="0" y="0"/>
                    <a:ext cx="2237426" cy="999831"/>
                  </a:xfrm>
                  <a:prstGeom prst="rect">
                    <a:avLst/>
                  </a:prstGeom>
                  <a:noFill/>
                  <a:ln>
                    <a:noFill/>
                  </a:ln>
                </pic:spPr>
              </pic:pic>
            </a:graphicData>
          </a:graphic>
        </wp:inline>
      </w:drawing>
    </w:r>
    <w:r>
      <w:t xml:space="preserve">                 </w:t>
    </w:r>
    <w:r>
      <w:rPr>
        <w:noProof/>
        <w:lang w:eastAsia="en-AU"/>
      </w:rPr>
      <w:drawing>
        <wp:inline distT="0" distB="0" distL="0" distR="0" wp14:anchorId="770DB8EE" wp14:editId="647C85BC">
          <wp:extent cx="2695575" cy="9789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cf.png"/>
                  <pic:cNvPicPr/>
                </pic:nvPicPr>
                <pic:blipFill>
                  <a:blip r:embed="rId2">
                    <a:extLst>
                      <a:ext uri="{28A0092B-C50C-407E-A947-70E740481C1C}">
                        <a14:useLocalDpi xmlns:a14="http://schemas.microsoft.com/office/drawing/2010/main" val="0"/>
                      </a:ext>
                    </a:extLst>
                  </a:blip>
                  <a:stretch>
                    <a:fillRect/>
                  </a:stretch>
                </pic:blipFill>
                <pic:spPr>
                  <a:xfrm>
                    <a:off x="0" y="0"/>
                    <a:ext cx="2708563" cy="983707"/>
                  </a:xfrm>
                  <a:prstGeom prst="rect">
                    <a:avLst/>
                  </a:prstGeom>
                </pic:spPr>
              </pic:pic>
            </a:graphicData>
          </a:graphic>
        </wp:inline>
      </w:drawing>
    </w:r>
  </w:p>
  <w:p w14:paraId="555F201F" w14:textId="77777777" w:rsidR="008B1278" w:rsidRDefault="008B1278">
    <w:pPr>
      <w:pStyle w:val="Header"/>
    </w:pPr>
  </w:p>
  <w:p w14:paraId="3D603BB9" w14:textId="77777777" w:rsidR="008B1278" w:rsidRDefault="008B1278">
    <w:pPr>
      <w:pStyle w:val="Header"/>
    </w:pPr>
  </w:p>
  <w:p w14:paraId="2FE008B7" w14:textId="77777777" w:rsidR="008B1278" w:rsidRPr="00717EB1" w:rsidRDefault="00717EB1" w:rsidP="00717EB1">
    <w:pPr>
      <w:pStyle w:val="Header"/>
      <w:jc w:val="center"/>
      <w:rPr>
        <w:rFonts w:ascii="Palatino Linotype" w:hAnsi="Palatino Linotype"/>
        <w:b/>
        <w:sz w:val="56"/>
        <w:szCs w:val="56"/>
      </w:rPr>
    </w:pPr>
    <w:r w:rsidRPr="00717EB1">
      <w:rPr>
        <w:rFonts w:ascii="Palatino Linotype" w:hAnsi="Palatino Linotype"/>
        <w:b/>
        <w:sz w:val="56"/>
        <w:szCs w:val="56"/>
      </w:rPr>
      <w:t>Cystic Fibrosis Research News</w:t>
    </w:r>
  </w:p>
  <w:p w14:paraId="40BB2C86" w14:textId="77777777" w:rsidR="008B1278" w:rsidRDefault="008B12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E11FB" w14:textId="77777777" w:rsidR="008B1278" w:rsidRDefault="008B12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382"/>
    <w:rsid w:val="000B7F71"/>
    <w:rsid w:val="00156404"/>
    <w:rsid w:val="0016102A"/>
    <w:rsid w:val="001862AC"/>
    <w:rsid w:val="001C0B35"/>
    <w:rsid w:val="00295BA7"/>
    <w:rsid w:val="00325B5B"/>
    <w:rsid w:val="0049290B"/>
    <w:rsid w:val="004E22AD"/>
    <w:rsid w:val="00540382"/>
    <w:rsid w:val="0067581B"/>
    <w:rsid w:val="006E3887"/>
    <w:rsid w:val="00717EB1"/>
    <w:rsid w:val="00727D20"/>
    <w:rsid w:val="00753394"/>
    <w:rsid w:val="007B3B49"/>
    <w:rsid w:val="007C34C3"/>
    <w:rsid w:val="008B1278"/>
    <w:rsid w:val="008F3945"/>
    <w:rsid w:val="0098362B"/>
    <w:rsid w:val="00BC7A3C"/>
    <w:rsid w:val="00CF30A7"/>
    <w:rsid w:val="00D36FED"/>
    <w:rsid w:val="00D47EB2"/>
    <w:rsid w:val="00E01296"/>
    <w:rsid w:val="00E36A30"/>
    <w:rsid w:val="00EB45BD"/>
    <w:rsid w:val="00F235DF"/>
    <w:rsid w:val="00F62D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B9BDF"/>
  <w15:docId w15:val="{ECC78DC4-3791-42EF-8DC1-7501B3BB2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12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1278"/>
  </w:style>
  <w:style w:type="paragraph" w:styleId="Footer">
    <w:name w:val="footer"/>
    <w:basedOn w:val="Normal"/>
    <w:link w:val="FooterChar"/>
    <w:uiPriority w:val="99"/>
    <w:unhideWhenUsed/>
    <w:rsid w:val="008B12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1278"/>
  </w:style>
  <w:style w:type="paragraph" w:styleId="BalloonText">
    <w:name w:val="Balloon Text"/>
    <w:basedOn w:val="Normal"/>
    <w:link w:val="BalloonTextChar"/>
    <w:uiPriority w:val="99"/>
    <w:semiHidden/>
    <w:unhideWhenUsed/>
    <w:rsid w:val="008B12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278"/>
    <w:rPr>
      <w:rFonts w:ascii="Tahoma" w:hAnsi="Tahoma" w:cs="Tahoma"/>
      <w:sz w:val="16"/>
      <w:szCs w:val="16"/>
    </w:rPr>
  </w:style>
  <w:style w:type="character" w:styleId="Hyperlink">
    <w:name w:val="Hyperlink"/>
    <w:basedOn w:val="DefaultParagraphFont"/>
    <w:uiPriority w:val="99"/>
    <w:unhideWhenUsed/>
    <w:rsid w:val="00717EB1"/>
    <w:rPr>
      <w:color w:val="0000FF" w:themeColor="hyperlink"/>
      <w:u w:val="single"/>
    </w:rPr>
  </w:style>
  <w:style w:type="paragraph" w:styleId="PlainText">
    <w:name w:val="Plain Text"/>
    <w:basedOn w:val="Normal"/>
    <w:link w:val="PlainTextChar"/>
    <w:uiPriority w:val="99"/>
    <w:unhideWhenUsed/>
    <w:rsid w:val="00BC7A3C"/>
    <w:pPr>
      <w:spacing w:after="0" w:line="240" w:lineRule="auto"/>
    </w:pPr>
    <w:rPr>
      <w:rFonts w:ascii="Calibri" w:hAnsi="Calibri"/>
      <w:szCs w:val="21"/>
      <w:lang w:val="de-DE"/>
    </w:rPr>
  </w:style>
  <w:style w:type="character" w:customStyle="1" w:styleId="PlainTextChar">
    <w:name w:val="Plain Text Char"/>
    <w:basedOn w:val="DefaultParagraphFont"/>
    <w:link w:val="PlainText"/>
    <w:uiPriority w:val="99"/>
    <w:rsid w:val="00BC7A3C"/>
    <w:rPr>
      <w:rFonts w:ascii="Calibri" w:hAnsi="Calibri"/>
      <w:szCs w:val="21"/>
      <w:lang w:val="de-DE"/>
    </w:rPr>
  </w:style>
  <w:style w:type="character" w:styleId="UnresolvedMention">
    <w:name w:val="Unresolved Mention"/>
    <w:basedOn w:val="DefaultParagraphFont"/>
    <w:uiPriority w:val="99"/>
    <w:semiHidden/>
    <w:unhideWhenUsed/>
    <w:rsid w:val="004E22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ubmed.ncbi.nlm.nih.gov/40603159/"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cfresearchnews@gmail.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CF%20RESEARCH%20NEWS\emails%20and%20proforma%20for%20authors\letterhead_ques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letterhead_questions</Template>
  <TotalTime>2</TotalTime>
  <Pages>2</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QIMR</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CFRN</dc:creator>
  <cp:lastModifiedBy>CFRN</cp:lastModifiedBy>
  <cp:revision>2</cp:revision>
  <dcterms:created xsi:type="dcterms:W3CDTF">2025-07-20T06:19:00Z</dcterms:created>
  <dcterms:modified xsi:type="dcterms:W3CDTF">2025-07-20T06:19:00Z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2024-11-03T01:08:16Z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26766f26-61d6-42dd-b995-963e8ea8d3f4</vt:lpwstr>
  </property>
  <property fmtid="{D5CDD505-2E9C-101B-9397-08002B2CF9AE}" pid="8" name="MSIP_Label_0f488380-630a-4f55-a077-a19445e3f360_ContentBits">
    <vt:lpwstr>0</vt:lpwstr>
  </property>
</Properties>
</file>