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941"/>
      </w:tblGrid>
      <w:tr w:rsidR="005C137D" w:rsidRPr="00705C2D" w14:paraId="36CD7883" w14:textId="77777777" w:rsidTr="005C137D">
        <w:trPr>
          <w:trHeight w:val="1975"/>
        </w:trPr>
        <w:tc>
          <w:tcPr>
            <w:tcW w:w="2978" w:type="dxa"/>
          </w:tcPr>
          <w:p w14:paraId="4AE42C1A" w14:textId="50C1988D" w:rsidR="005C137D" w:rsidRPr="00705C2D" w:rsidRDefault="005C137D" w:rsidP="00DC1E8B">
            <w:r w:rsidRPr="00705C2D">
              <w:rPr>
                <w:noProof/>
              </w:rPr>
              <w:drawing>
                <wp:inline distT="0" distB="0" distL="0" distR="0" wp14:anchorId="2E064CFD" wp14:editId="7C770A16">
                  <wp:extent cx="1589937" cy="1345006"/>
                  <wp:effectExtent l="0" t="0" r="0" b="7620"/>
                  <wp:docPr id="179479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90029" name="Picture 1794790029"/>
                          <pic:cNvPicPr/>
                        </pic:nvPicPr>
                        <pic:blipFill>
                          <a:blip r:embed="rId8"/>
                          <a:stretch>
                            <a:fillRect/>
                          </a:stretch>
                        </pic:blipFill>
                        <pic:spPr>
                          <a:xfrm>
                            <a:off x="0" y="0"/>
                            <a:ext cx="1606943" cy="1359392"/>
                          </a:xfrm>
                          <a:prstGeom prst="rect">
                            <a:avLst/>
                          </a:prstGeom>
                        </pic:spPr>
                      </pic:pic>
                    </a:graphicData>
                  </a:graphic>
                </wp:inline>
              </w:drawing>
            </w:r>
          </w:p>
        </w:tc>
        <w:tc>
          <w:tcPr>
            <w:tcW w:w="5941" w:type="dxa"/>
          </w:tcPr>
          <w:p w14:paraId="53D894B3" w14:textId="2D966A58" w:rsidR="005C137D" w:rsidRPr="00705C2D" w:rsidRDefault="005C137D" w:rsidP="00DC1E8B">
            <w:r w:rsidRPr="00705C2D">
              <w:rPr>
                <w:noProof/>
              </w:rPr>
              <w:drawing>
                <wp:inline distT="0" distB="0" distL="0" distR="0" wp14:anchorId="7E7A7361" wp14:editId="4C90C34F">
                  <wp:extent cx="2944741" cy="1332973"/>
                  <wp:effectExtent l="0" t="0" r="8255" b="635"/>
                  <wp:docPr id="88942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20057" name="Picture 889420057"/>
                          <pic:cNvPicPr/>
                        </pic:nvPicPr>
                        <pic:blipFill>
                          <a:blip r:embed="rId9"/>
                          <a:stretch>
                            <a:fillRect/>
                          </a:stretch>
                        </pic:blipFill>
                        <pic:spPr>
                          <a:xfrm>
                            <a:off x="0" y="0"/>
                            <a:ext cx="2968971" cy="1343941"/>
                          </a:xfrm>
                          <a:prstGeom prst="rect">
                            <a:avLst/>
                          </a:prstGeom>
                        </pic:spPr>
                      </pic:pic>
                    </a:graphicData>
                  </a:graphic>
                </wp:inline>
              </w:drawing>
            </w:r>
          </w:p>
        </w:tc>
      </w:tr>
      <w:tr w:rsidR="008A63AA" w:rsidRPr="00705C2D" w14:paraId="0770DCC6" w14:textId="77777777" w:rsidTr="005C137D">
        <w:tc>
          <w:tcPr>
            <w:tcW w:w="8919" w:type="dxa"/>
            <w:gridSpan w:val="2"/>
          </w:tcPr>
          <w:p w14:paraId="69F7D3B1" w14:textId="661322FC" w:rsidR="008A63AA" w:rsidRPr="00705C2D" w:rsidRDefault="008A63AA" w:rsidP="00DC1E8B"/>
          <w:p w14:paraId="6C850D80" w14:textId="77777777" w:rsidR="008A63AA" w:rsidRPr="00705C2D" w:rsidRDefault="008A63AA" w:rsidP="00DC1E8B"/>
          <w:p w14:paraId="5C61114B" w14:textId="77777777" w:rsidR="008A63AA" w:rsidRPr="00705C2D" w:rsidRDefault="008A63AA" w:rsidP="00DC1E8B"/>
          <w:p w14:paraId="6B2E016C" w14:textId="12E938E6" w:rsidR="008A63AA" w:rsidRPr="00705C2D" w:rsidRDefault="00172853" w:rsidP="005C137D">
            <w:pPr>
              <w:pStyle w:val="Title"/>
            </w:pPr>
            <w:r w:rsidRPr="00705C2D">
              <w:t>Telehealth Technical Considerations: A guide for supporting the CF Multidi</w:t>
            </w:r>
            <w:r w:rsidR="006A5BAB" w:rsidRPr="00705C2D">
              <w:t>sciplinary Team</w:t>
            </w:r>
          </w:p>
          <w:p w14:paraId="4F09CD68" w14:textId="77777777" w:rsidR="006A5BAB" w:rsidRPr="00705C2D" w:rsidRDefault="006A5BAB" w:rsidP="00DC1E8B"/>
          <w:p w14:paraId="6EA9E324" w14:textId="77777777" w:rsidR="006A5BAB" w:rsidRPr="00705C2D" w:rsidRDefault="006A5BAB" w:rsidP="00DC1E8B"/>
          <w:p w14:paraId="57F27102" w14:textId="327BC787" w:rsidR="006A5BAB" w:rsidRPr="00705C2D" w:rsidRDefault="006A5BAB" w:rsidP="00DC1E8B">
            <w:r w:rsidRPr="00705C2D">
              <w:t xml:space="preserve">Authors: </w:t>
            </w:r>
            <w:r w:rsidR="00757FF3" w:rsidRPr="00705C2D">
              <w:br/>
            </w:r>
            <w:r w:rsidRPr="00705C2D">
              <w:t xml:space="preserve">ECFS Telehealth for CF Working Group Work Package 4: </w:t>
            </w:r>
            <w:r w:rsidR="00757FF3" w:rsidRPr="00705C2D">
              <w:br/>
              <w:t xml:space="preserve">Tamara Vagg, Godfrey Fletcher, Géza Marsal, Beste </w:t>
            </w:r>
            <w:proofErr w:type="spellStart"/>
            <w:r w:rsidR="00757FF3" w:rsidRPr="00705C2D">
              <w:t>Ozsezen</w:t>
            </w:r>
            <w:proofErr w:type="spellEnd"/>
            <w:r w:rsidR="00757FF3" w:rsidRPr="00705C2D">
              <w:t>, Thomas Vidal</w:t>
            </w:r>
          </w:p>
          <w:p w14:paraId="41BD2FFC" w14:textId="77777777" w:rsidR="00757FF3" w:rsidRPr="00705C2D" w:rsidRDefault="00757FF3" w:rsidP="00DC1E8B"/>
          <w:p w14:paraId="58858918" w14:textId="77777777" w:rsidR="00757FF3" w:rsidRPr="00705C2D" w:rsidRDefault="00757FF3" w:rsidP="00DC1E8B"/>
          <w:p w14:paraId="31D6BA29" w14:textId="77777777" w:rsidR="00757FF3" w:rsidRPr="00705C2D" w:rsidRDefault="00757FF3" w:rsidP="00DC1E8B"/>
          <w:p w14:paraId="31D2AC4A" w14:textId="77777777" w:rsidR="00757FF3" w:rsidRPr="00705C2D" w:rsidRDefault="00757FF3" w:rsidP="00DC1E8B"/>
          <w:p w14:paraId="798701E8" w14:textId="77777777" w:rsidR="00757FF3" w:rsidRPr="00705C2D" w:rsidRDefault="00757FF3" w:rsidP="00DC1E8B"/>
          <w:p w14:paraId="6488B4A5" w14:textId="77777777" w:rsidR="00757FF3" w:rsidRPr="00705C2D" w:rsidRDefault="00757FF3" w:rsidP="00DC1E8B"/>
          <w:p w14:paraId="34581FC5" w14:textId="77777777" w:rsidR="00757FF3" w:rsidRPr="00705C2D" w:rsidRDefault="00757FF3" w:rsidP="00DC1E8B"/>
          <w:p w14:paraId="14366FEF" w14:textId="2B784A1A" w:rsidR="008A63AA" w:rsidRPr="00705C2D" w:rsidRDefault="008A63AA" w:rsidP="00DC1E8B"/>
        </w:tc>
      </w:tr>
      <w:tr w:rsidR="008A63AA" w:rsidRPr="00705C2D" w14:paraId="11E8A35A" w14:textId="77777777" w:rsidTr="005C137D">
        <w:tc>
          <w:tcPr>
            <w:tcW w:w="8919" w:type="dxa"/>
            <w:gridSpan w:val="2"/>
          </w:tcPr>
          <w:p w14:paraId="36B848E0" w14:textId="77777777" w:rsidR="008A63AA" w:rsidRPr="00705C2D" w:rsidRDefault="008A63AA" w:rsidP="00757FF3">
            <w:pPr>
              <w:ind w:left="360" w:hanging="360"/>
              <w:rPr>
                <w:sz w:val="18"/>
                <w:szCs w:val="18"/>
              </w:rPr>
            </w:pPr>
            <w:r w:rsidRPr="00705C2D">
              <w:rPr>
                <w:sz w:val="18"/>
                <w:szCs w:val="18"/>
              </w:rPr>
              <w:t>Version number: Version 3</w:t>
            </w:r>
          </w:p>
          <w:p w14:paraId="56D0960F" w14:textId="77777777" w:rsidR="008A63AA" w:rsidRPr="00705C2D" w:rsidRDefault="008A63AA" w:rsidP="00757FF3">
            <w:pPr>
              <w:ind w:left="360" w:hanging="360"/>
              <w:rPr>
                <w:sz w:val="18"/>
                <w:szCs w:val="18"/>
              </w:rPr>
            </w:pPr>
            <w:r w:rsidRPr="00705C2D">
              <w:rPr>
                <w:sz w:val="18"/>
                <w:szCs w:val="18"/>
              </w:rPr>
              <w:t>Last Reviewed on: 30</w:t>
            </w:r>
            <w:r w:rsidRPr="00705C2D">
              <w:rPr>
                <w:sz w:val="18"/>
                <w:szCs w:val="18"/>
                <w:vertAlign w:val="superscript"/>
              </w:rPr>
              <w:t>th</w:t>
            </w:r>
            <w:r w:rsidRPr="00705C2D">
              <w:rPr>
                <w:sz w:val="18"/>
                <w:szCs w:val="18"/>
              </w:rPr>
              <w:t xml:space="preserve"> of April 2026</w:t>
            </w:r>
          </w:p>
          <w:p w14:paraId="1B19B1BE" w14:textId="77777777" w:rsidR="008A63AA" w:rsidRPr="00705C2D" w:rsidRDefault="008A63AA" w:rsidP="00757FF3">
            <w:pPr>
              <w:ind w:left="360" w:hanging="360"/>
              <w:rPr>
                <w:sz w:val="18"/>
                <w:szCs w:val="18"/>
              </w:rPr>
            </w:pPr>
            <w:r w:rsidRPr="00705C2D">
              <w:rPr>
                <w:sz w:val="18"/>
                <w:szCs w:val="18"/>
              </w:rPr>
              <w:t>Next Review on: 30</w:t>
            </w:r>
            <w:r w:rsidRPr="00705C2D">
              <w:rPr>
                <w:sz w:val="18"/>
                <w:szCs w:val="18"/>
                <w:vertAlign w:val="superscript"/>
              </w:rPr>
              <w:t>th</w:t>
            </w:r>
            <w:r w:rsidRPr="00705C2D">
              <w:rPr>
                <w:sz w:val="18"/>
                <w:szCs w:val="18"/>
              </w:rPr>
              <w:t xml:space="preserve"> of April 2028</w:t>
            </w:r>
          </w:p>
          <w:p w14:paraId="0FD24D35" w14:textId="77777777" w:rsidR="008A63AA" w:rsidRPr="00705C2D" w:rsidRDefault="008A63AA" w:rsidP="00DC1E8B"/>
        </w:tc>
      </w:tr>
    </w:tbl>
    <w:p w14:paraId="31FFBACF" w14:textId="77777777" w:rsidR="005C137D" w:rsidRPr="00705C2D" w:rsidRDefault="005C137D">
      <w:pPr>
        <w:pStyle w:val="TOCHeading"/>
      </w:pPr>
    </w:p>
    <w:p w14:paraId="51D736EF" w14:textId="77777777" w:rsidR="005C137D" w:rsidRPr="00705C2D" w:rsidRDefault="005C137D">
      <w:pPr>
        <w:rPr>
          <w:rFonts w:asciiTheme="majorHAnsi" w:eastAsiaTheme="majorEastAsia" w:hAnsiTheme="majorHAnsi" w:cstheme="majorBidi"/>
          <w:b/>
          <w:bCs/>
          <w:color w:val="365F91" w:themeColor="accent1" w:themeShade="BF"/>
          <w:sz w:val="28"/>
          <w:szCs w:val="28"/>
        </w:rPr>
      </w:pPr>
      <w:r w:rsidRPr="00705C2D">
        <w:br w:type="page"/>
      </w:r>
    </w:p>
    <w:sdt>
      <w:sdtPr>
        <w:rPr>
          <w:rFonts w:asciiTheme="minorHAnsi" w:eastAsiaTheme="minorEastAsia" w:hAnsiTheme="minorHAnsi" w:cstheme="minorBidi"/>
          <w:b w:val="0"/>
          <w:bCs w:val="0"/>
          <w:color w:val="auto"/>
          <w:sz w:val="22"/>
          <w:szCs w:val="22"/>
        </w:rPr>
        <w:id w:val="1694341047"/>
        <w:docPartObj>
          <w:docPartGallery w:val="Table of Contents"/>
          <w:docPartUnique/>
        </w:docPartObj>
      </w:sdtPr>
      <w:sdtEndPr/>
      <w:sdtContent>
        <w:p w14:paraId="2534268C" w14:textId="3AAE754F" w:rsidR="008211DB" w:rsidRPr="00705C2D" w:rsidRDefault="008211DB">
          <w:pPr>
            <w:pStyle w:val="TOCHeading"/>
          </w:pPr>
          <w:r w:rsidRPr="00705C2D">
            <w:t>Table of Contents</w:t>
          </w:r>
        </w:p>
        <w:p w14:paraId="2A059776" w14:textId="2C28AE11" w:rsidR="008211DB" w:rsidRPr="00705C2D" w:rsidRDefault="008211DB">
          <w:pPr>
            <w:pStyle w:val="TOC1"/>
            <w:tabs>
              <w:tab w:val="right" w:leader="dot" w:pos="8630"/>
            </w:tabs>
          </w:pPr>
          <w:r w:rsidRPr="00705C2D">
            <w:fldChar w:fldCharType="begin"/>
          </w:r>
          <w:r w:rsidRPr="00705C2D">
            <w:instrText xml:space="preserve"> TOC \o "1-3" \h \z \u </w:instrText>
          </w:r>
          <w:r w:rsidRPr="00705C2D">
            <w:fldChar w:fldCharType="separate"/>
          </w:r>
          <w:hyperlink w:anchor="_Toc228182389" w:history="1">
            <w:r w:rsidRPr="00705C2D">
              <w:rPr>
                <w:rStyle w:val="Hyperlink"/>
              </w:rPr>
              <w:t>Table of Acronyms:</w:t>
            </w:r>
            <w:r w:rsidRPr="00705C2D">
              <w:rPr>
                <w:webHidden/>
              </w:rPr>
              <w:tab/>
            </w:r>
            <w:r w:rsidRPr="00705C2D">
              <w:rPr>
                <w:webHidden/>
              </w:rPr>
              <w:fldChar w:fldCharType="begin"/>
            </w:r>
            <w:r w:rsidRPr="00705C2D">
              <w:rPr>
                <w:webHidden/>
              </w:rPr>
              <w:instrText xml:space="preserve"> PAGEREF _Toc228182389 \h </w:instrText>
            </w:r>
            <w:r w:rsidRPr="00705C2D">
              <w:rPr>
                <w:webHidden/>
              </w:rPr>
            </w:r>
            <w:r w:rsidRPr="00705C2D">
              <w:rPr>
                <w:webHidden/>
              </w:rPr>
              <w:fldChar w:fldCharType="separate"/>
            </w:r>
            <w:r w:rsidRPr="00705C2D">
              <w:rPr>
                <w:webHidden/>
              </w:rPr>
              <w:t>3</w:t>
            </w:r>
            <w:r w:rsidRPr="00705C2D">
              <w:rPr>
                <w:webHidden/>
              </w:rPr>
              <w:fldChar w:fldCharType="end"/>
            </w:r>
          </w:hyperlink>
        </w:p>
        <w:p w14:paraId="33905D30" w14:textId="3D9DA93B" w:rsidR="008211DB" w:rsidRPr="00705C2D" w:rsidRDefault="008211DB">
          <w:pPr>
            <w:pStyle w:val="TOC1"/>
            <w:tabs>
              <w:tab w:val="right" w:leader="dot" w:pos="8630"/>
            </w:tabs>
          </w:pPr>
          <w:hyperlink w:anchor="_Toc228182390" w:history="1">
            <w:r w:rsidRPr="00705C2D">
              <w:rPr>
                <w:rStyle w:val="Hyperlink"/>
              </w:rPr>
              <w:t>Introduction.</w:t>
            </w:r>
            <w:r w:rsidRPr="00705C2D">
              <w:rPr>
                <w:webHidden/>
              </w:rPr>
              <w:tab/>
            </w:r>
            <w:r w:rsidRPr="00705C2D">
              <w:rPr>
                <w:webHidden/>
              </w:rPr>
              <w:fldChar w:fldCharType="begin"/>
            </w:r>
            <w:r w:rsidRPr="00705C2D">
              <w:rPr>
                <w:webHidden/>
              </w:rPr>
              <w:instrText xml:space="preserve"> PAGEREF _Toc228182390 \h </w:instrText>
            </w:r>
            <w:r w:rsidRPr="00705C2D">
              <w:rPr>
                <w:webHidden/>
              </w:rPr>
            </w:r>
            <w:r w:rsidRPr="00705C2D">
              <w:rPr>
                <w:webHidden/>
              </w:rPr>
              <w:fldChar w:fldCharType="separate"/>
            </w:r>
            <w:r w:rsidRPr="00705C2D">
              <w:rPr>
                <w:webHidden/>
              </w:rPr>
              <w:t>5</w:t>
            </w:r>
            <w:r w:rsidRPr="00705C2D">
              <w:rPr>
                <w:webHidden/>
              </w:rPr>
              <w:fldChar w:fldCharType="end"/>
            </w:r>
          </w:hyperlink>
        </w:p>
        <w:p w14:paraId="4453D3AD" w14:textId="07F58B4B" w:rsidR="008211DB" w:rsidRPr="00705C2D" w:rsidRDefault="008211DB">
          <w:pPr>
            <w:pStyle w:val="TOC2"/>
            <w:tabs>
              <w:tab w:val="right" w:leader="dot" w:pos="8630"/>
            </w:tabs>
          </w:pPr>
          <w:hyperlink w:anchor="_Toc228182391" w:history="1">
            <w:r w:rsidRPr="00705C2D">
              <w:rPr>
                <w:rStyle w:val="Hyperlink"/>
              </w:rPr>
              <w:t>Purpose of This Document</w:t>
            </w:r>
            <w:r w:rsidRPr="00705C2D">
              <w:rPr>
                <w:webHidden/>
              </w:rPr>
              <w:tab/>
            </w:r>
            <w:r w:rsidRPr="00705C2D">
              <w:rPr>
                <w:webHidden/>
              </w:rPr>
              <w:fldChar w:fldCharType="begin"/>
            </w:r>
            <w:r w:rsidRPr="00705C2D">
              <w:rPr>
                <w:webHidden/>
              </w:rPr>
              <w:instrText xml:space="preserve"> PAGEREF _Toc228182391 \h </w:instrText>
            </w:r>
            <w:r w:rsidRPr="00705C2D">
              <w:rPr>
                <w:webHidden/>
              </w:rPr>
            </w:r>
            <w:r w:rsidRPr="00705C2D">
              <w:rPr>
                <w:webHidden/>
              </w:rPr>
              <w:fldChar w:fldCharType="separate"/>
            </w:r>
            <w:r w:rsidRPr="00705C2D">
              <w:rPr>
                <w:webHidden/>
              </w:rPr>
              <w:t>5</w:t>
            </w:r>
            <w:r w:rsidRPr="00705C2D">
              <w:rPr>
                <w:webHidden/>
              </w:rPr>
              <w:fldChar w:fldCharType="end"/>
            </w:r>
          </w:hyperlink>
        </w:p>
        <w:p w14:paraId="5EEC7A7F" w14:textId="3FACBDCE" w:rsidR="008211DB" w:rsidRPr="00705C2D" w:rsidRDefault="008211DB">
          <w:pPr>
            <w:pStyle w:val="TOC2"/>
            <w:tabs>
              <w:tab w:val="right" w:leader="dot" w:pos="8630"/>
            </w:tabs>
          </w:pPr>
          <w:hyperlink w:anchor="_Toc228182392" w:history="1">
            <w:r w:rsidRPr="00705C2D">
              <w:rPr>
                <w:rStyle w:val="Hyperlink"/>
              </w:rPr>
              <w:t>Intended Audience</w:t>
            </w:r>
            <w:r w:rsidRPr="00705C2D">
              <w:rPr>
                <w:webHidden/>
              </w:rPr>
              <w:tab/>
            </w:r>
            <w:r w:rsidRPr="00705C2D">
              <w:rPr>
                <w:webHidden/>
              </w:rPr>
              <w:fldChar w:fldCharType="begin"/>
            </w:r>
            <w:r w:rsidRPr="00705C2D">
              <w:rPr>
                <w:webHidden/>
              </w:rPr>
              <w:instrText xml:space="preserve"> PAGEREF _Toc228182392 \h </w:instrText>
            </w:r>
            <w:r w:rsidRPr="00705C2D">
              <w:rPr>
                <w:webHidden/>
              </w:rPr>
            </w:r>
            <w:r w:rsidRPr="00705C2D">
              <w:rPr>
                <w:webHidden/>
              </w:rPr>
              <w:fldChar w:fldCharType="separate"/>
            </w:r>
            <w:r w:rsidRPr="00705C2D">
              <w:rPr>
                <w:webHidden/>
              </w:rPr>
              <w:t>5</w:t>
            </w:r>
            <w:r w:rsidRPr="00705C2D">
              <w:rPr>
                <w:webHidden/>
              </w:rPr>
              <w:fldChar w:fldCharType="end"/>
            </w:r>
          </w:hyperlink>
        </w:p>
        <w:p w14:paraId="3124547F" w14:textId="0287643F" w:rsidR="008211DB" w:rsidRPr="00705C2D" w:rsidRDefault="008211DB">
          <w:pPr>
            <w:pStyle w:val="TOC2"/>
            <w:tabs>
              <w:tab w:val="right" w:leader="dot" w:pos="8630"/>
            </w:tabs>
          </w:pPr>
          <w:hyperlink w:anchor="_Toc228182393" w:history="1">
            <w:r w:rsidRPr="00705C2D">
              <w:rPr>
                <w:rStyle w:val="Hyperlink"/>
              </w:rPr>
              <w:t>How to Use This Document</w:t>
            </w:r>
            <w:r w:rsidRPr="00705C2D">
              <w:rPr>
                <w:webHidden/>
              </w:rPr>
              <w:tab/>
            </w:r>
            <w:r w:rsidRPr="00705C2D">
              <w:rPr>
                <w:webHidden/>
              </w:rPr>
              <w:fldChar w:fldCharType="begin"/>
            </w:r>
            <w:r w:rsidRPr="00705C2D">
              <w:rPr>
                <w:webHidden/>
              </w:rPr>
              <w:instrText xml:space="preserve"> PAGEREF _Toc228182393 \h </w:instrText>
            </w:r>
            <w:r w:rsidRPr="00705C2D">
              <w:rPr>
                <w:webHidden/>
              </w:rPr>
            </w:r>
            <w:r w:rsidRPr="00705C2D">
              <w:rPr>
                <w:webHidden/>
              </w:rPr>
              <w:fldChar w:fldCharType="separate"/>
            </w:r>
            <w:r w:rsidRPr="00705C2D">
              <w:rPr>
                <w:webHidden/>
              </w:rPr>
              <w:t>5</w:t>
            </w:r>
            <w:r w:rsidRPr="00705C2D">
              <w:rPr>
                <w:webHidden/>
              </w:rPr>
              <w:fldChar w:fldCharType="end"/>
            </w:r>
          </w:hyperlink>
        </w:p>
        <w:p w14:paraId="59CA575D" w14:textId="469FB07B" w:rsidR="008211DB" w:rsidRPr="00705C2D" w:rsidRDefault="008211DB">
          <w:pPr>
            <w:pStyle w:val="TOC2"/>
            <w:tabs>
              <w:tab w:val="right" w:leader="dot" w:pos="8630"/>
            </w:tabs>
          </w:pPr>
          <w:hyperlink w:anchor="_Toc228182394" w:history="1">
            <w:r w:rsidRPr="00705C2D">
              <w:rPr>
                <w:rStyle w:val="Hyperlink"/>
              </w:rPr>
              <w:t>Proficiency Levels Explained</w:t>
            </w:r>
            <w:r w:rsidRPr="00705C2D">
              <w:rPr>
                <w:webHidden/>
              </w:rPr>
              <w:tab/>
            </w:r>
            <w:r w:rsidRPr="00705C2D">
              <w:rPr>
                <w:webHidden/>
              </w:rPr>
              <w:fldChar w:fldCharType="begin"/>
            </w:r>
            <w:r w:rsidRPr="00705C2D">
              <w:rPr>
                <w:webHidden/>
              </w:rPr>
              <w:instrText xml:space="preserve"> PAGEREF _Toc228182394 \h </w:instrText>
            </w:r>
            <w:r w:rsidRPr="00705C2D">
              <w:rPr>
                <w:webHidden/>
              </w:rPr>
            </w:r>
            <w:r w:rsidRPr="00705C2D">
              <w:rPr>
                <w:webHidden/>
              </w:rPr>
              <w:fldChar w:fldCharType="separate"/>
            </w:r>
            <w:r w:rsidRPr="00705C2D">
              <w:rPr>
                <w:webHidden/>
              </w:rPr>
              <w:t>6</w:t>
            </w:r>
            <w:r w:rsidRPr="00705C2D">
              <w:rPr>
                <w:webHidden/>
              </w:rPr>
              <w:fldChar w:fldCharType="end"/>
            </w:r>
          </w:hyperlink>
        </w:p>
        <w:p w14:paraId="428672B6" w14:textId="40D2F19F" w:rsidR="008211DB" w:rsidRPr="00705C2D" w:rsidRDefault="008211DB">
          <w:pPr>
            <w:pStyle w:val="TOC3"/>
            <w:tabs>
              <w:tab w:val="right" w:leader="dot" w:pos="8630"/>
            </w:tabs>
          </w:pPr>
          <w:hyperlink w:anchor="_Toc228182395" w:history="1">
            <w:r w:rsidRPr="00705C2D">
              <w:rPr>
                <w:rStyle w:val="Hyperlink"/>
              </w:rPr>
              <w:t>Highly Recommended</w:t>
            </w:r>
            <w:r w:rsidRPr="00705C2D">
              <w:rPr>
                <w:webHidden/>
              </w:rPr>
              <w:tab/>
            </w:r>
            <w:r w:rsidRPr="00705C2D">
              <w:rPr>
                <w:webHidden/>
              </w:rPr>
              <w:fldChar w:fldCharType="begin"/>
            </w:r>
            <w:r w:rsidRPr="00705C2D">
              <w:rPr>
                <w:webHidden/>
              </w:rPr>
              <w:instrText xml:space="preserve"> PAGEREF _Toc228182395 \h </w:instrText>
            </w:r>
            <w:r w:rsidRPr="00705C2D">
              <w:rPr>
                <w:webHidden/>
              </w:rPr>
            </w:r>
            <w:r w:rsidRPr="00705C2D">
              <w:rPr>
                <w:webHidden/>
              </w:rPr>
              <w:fldChar w:fldCharType="separate"/>
            </w:r>
            <w:r w:rsidRPr="00705C2D">
              <w:rPr>
                <w:webHidden/>
              </w:rPr>
              <w:t>6</w:t>
            </w:r>
            <w:r w:rsidRPr="00705C2D">
              <w:rPr>
                <w:webHidden/>
              </w:rPr>
              <w:fldChar w:fldCharType="end"/>
            </w:r>
          </w:hyperlink>
        </w:p>
        <w:p w14:paraId="3AEB877C" w14:textId="59AB37E0" w:rsidR="008211DB" w:rsidRPr="00705C2D" w:rsidRDefault="008211DB">
          <w:pPr>
            <w:pStyle w:val="TOC3"/>
            <w:tabs>
              <w:tab w:val="right" w:leader="dot" w:pos="8630"/>
            </w:tabs>
          </w:pPr>
          <w:hyperlink w:anchor="_Toc228182396" w:history="1">
            <w:r w:rsidRPr="00705C2D">
              <w:rPr>
                <w:rStyle w:val="Hyperlink"/>
              </w:rPr>
              <w:t>Recommended</w:t>
            </w:r>
            <w:r w:rsidRPr="00705C2D">
              <w:rPr>
                <w:webHidden/>
              </w:rPr>
              <w:tab/>
            </w:r>
            <w:r w:rsidRPr="00705C2D">
              <w:rPr>
                <w:webHidden/>
              </w:rPr>
              <w:fldChar w:fldCharType="begin"/>
            </w:r>
            <w:r w:rsidRPr="00705C2D">
              <w:rPr>
                <w:webHidden/>
              </w:rPr>
              <w:instrText xml:space="preserve"> PAGEREF _Toc228182396 \h </w:instrText>
            </w:r>
            <w:r w:rsidRPr="00705C2D">
              <w:rPr>
                <w:webHidden/>
              </w:rPr>
            </w:r>
            <w:r w:rsidRPr="00705C2D">
              <w:rPr>
                <w:webHidden/>
              </w:rPr>
              <w:fldChar w:fldCharType="separate"/>
            </w:r>
            <w:r w:rsidRPr="00705C2D">
              <w:rPr>
                <w:webHidden/>
              </w:rPr>
              <w:t>6</w:t>
            </w:r>
            <w:r w:rsidRPr="00705C2D">
              <w:rPr>
                <w:webHidden/>
              </w:rPr>
              <w:fldChar w:fldCharType="end"/>
            </w:r>
          </w:hyperlink>
        </w:p>
        <w:p w14:paraId="78B971F1" w14:textId="38081034" w:rsidR="008211DB" w:rsidRPr="00705C2D" w:rsidRDefault="008211DB">
          <w:pPr>
            <w:pStyle w:val="TOC3"/>
            <w:tabs>
              <w:tab w:val="right" w:leader="dot" w:pos="8630"/>
            </w:tabs>
          </w:pPr>
          <w:hyperlink w:anchor="_Toc228182397" w:history="1">
            <w:r w:rsidRPr="00705C2D">
              <w:rPr>
                <w:rStyle w:val="Hyperlink"/>
              </w:rPr>
              <w:t>Optional</w:t>
            </w:r>
            <w:r w:rsidRPr="00705C2D">
              <w:rPr>
                <w:webHidden/>
              </w:rPr>
              <w:tab/>
            </w:r>
            <w:r w:rsidRPr="00705C2D">
              <w:rPr>
                <w:webHidden/>
              </w:rPr>
              <w:fldChar w:fldCharType="begin"/>
            </w:r>
            <w:r w:rsidRPr="00705C2D">
              <w:rPr>
                <w:webHidden/>
              </w:rPr>
              <w:instrText xml:space="preserve"> PAGEREF _Toc228182397 \h </w:instrText>
            </w:r>
            <w:r w:rsidRPr="00705C2D">
              <w:rPr>
                <w:webHidden/>
              </w:rPr>
            </w:r>
            <w:r w:rsidRPr="00705C2D">
              <w:rPr>
                <w:webHidden/>
              </w:rPr>
              <w:fldChar w:fldCharType="separate"/>
            </w:r>
            <w:r w:rsidRPr="00705C2D">
              <w:rPr>
                <w:webHidden/>
              </w:rPr>
              <w:t>6</w:t>
            </w:r>
            <w:r w:rsidRPr="00705C2D">
              <w:rPr>
                <w:webHidden/>
              </w:rPr>
              <w:fldChar w:fldCharType="end"/>
            </w:r>
          </w:hyperlink>
        </w:p>
        <w:p w14:paraId="7D5518D8" w14:textId="6316C7C3" w:rsidR="008211DB" w:rsidRPr="00705C2D" w:rsidRDefault="008211DB">
          <w:pPr>
            <w:pStyle w:val="TOC2"/>
            <w:tabs>
              <w:tab w:val="right" w:leader="dot" w:pos="8630"/>
            </w:tabs>
          </w:pPr>
          <w:hyperlink w:anchor="_Toc228182398" w:history="1">
            <w:r w:rsidRPr="00705C2D">
              <w:rPr>
                <w:rStyle w:val="Hyperlink"/>
              </w:rPr>
              <w:t>Development and Authorship</w:t>
            </w:r>
            <w:r w:rsidRPr="00705C2D">
              <w:rPr>
                <w:webHidden/>
              </w:rPr>
              <w:tab/>
            </w:r>
            <w:r w:rsidRPr="00705C2D">
              <w:rPr>
                <w:webHidden/>
              </w:rPr>
              <w:fldChar w:fldCharType="begin"/>
            </w:r>
            <w:r w:rsidRPr="00705C2D">
              <w:rPr>
                <w:webHidden/>
              </w:rPr>
              <w:instrText xml:space="preserve"> PAGEREF _Toc228182398 \h </w:instrText>
            </w:r>
            <w:r w:rsidRPr="00705C2D">
              <w:rPr>
                <w:webHidden/>
              </w:rPr>
            </w:r>
            <w:r w:rsidRPr="00705C2D">
              <w:rPr>
                <w:webHidden/>
              </w:rPr>
              <w:fldChar w:fldCharType="separate"/>
            </w:r>
            <w:r w:rsidRPr="00705C2D">
              <w:rPr>
                <w:webHidden/>
              </w:rPr>
              <w:t>6</w:t>
            </w:r>
            <w:r w:rsidRPr="00705C2D">
              <w:rPr>
                <w:webHidden/>
              </w:rPr>
              <w:fldChar w:fldCharType="end"/>
            </w:r>
          </w:hyperlink>
        </w:p>
        <w:p w14:paraId="44A6FEB2" w14:textId="4F672831" w:rsidR="008211DB" w:rsidRPr="00705C2D" w:rsidRDefault="008211DB">
          <w:pPr>
            <w:pStyle w:val="TOC1"/>
            <w:tabs>
              <w:tab w:val="right" w:leader="dot" w:pos="8630"/>
            </w:tabs>
          </w:pPr>
          <w:hyperlink w:anchor="_Toc228182399" w:history="1">
            <w:r w:rsidRPr="00705C2D">
              <w:rPr>
                <w:rStyle w:val="Hyperlink"/>
              </w:rPr>
              <w:t>1.1 Digital Transformation Principles</w:t>
            </w:r>
            <w:r w:rsidRPr="00705C2D">
              <w:rPr>
                <w:webHidden/>
              </w:rPr>
              <w:tab/>
            </w:r>
            <w:r w:rsidRPr="00705C2D">
              <w:rPr>
                <w:webHidden/>
              </w:rPr>
              <w:fldChar w:fldCharType="begin"/>
            </w:r>
            <w:r w:rsidRPr="00705C2D">
              <w:rPr>
                <w:webHidden/>
              </w:rPr>
              <w:instrText xml:space="preserve"> PAGEREF _Toc228182399 \h </w:instrText>
            </w:r>
            <w:r w:rsidRPr="00705C2D">
              <w:rPr>
                <w:webHidden/>
              </w:rPr>
            </w:r>
            <w:r w:rsidRPr="00705C2D">
              <w:rPr>
                <w:webHidden/>
              </w:rPr>
              <w:fldChar w:fldCharType="separate"/>
            </w:r>
            <w:r w:rsidRPr="00705C2D">
              <w:rPr>
                <w:webHidden/>
              </w:rPr>
              <w:t>8</w:t>
            </w:r>
            <w:r w:rsidRPr="00705C2D">
              <w:rPr>
                <w:webHidden/>
              </w:rPr>
              <w:fldChar w:fldCharType="end"/>
            </w:r>
          </w:hyperlink>
        </w:p>
        <w:p w14:paraId="5585BF9D" w14:textId="4ACE88A9" w:rsidR="008211DB" w:rsidRPr="00705C2D" w:rsidRDefault="008211DB">
          <w:pPr>
            <w:pStyle w:val="TOC1"/>
            <w:tabs>
              <w:tab w:val="right" w:leader="dot" w:pos="8630"/>
            </w:tabs>
          </w:pPr>
          <w:hyperlink w:anchor="_Toc228182400" w:history="1">
            <w:r w:rsidRPr="00705C2D">
              <w:rPr>
                <w:rStyle w:val="Hyperlink"/>
              </w:rPr>
              <w:t>1.2 Standard Operating Procedures</w:t>
            </w:r>
            <w:r w:rsidRPr="00705C2D">
              <w:rPr>
                <w:webHidden/>
              </w:rPr>
              <w:tab/>
            </w:r>
            <w:r w:rsidRPr="00705C2D">
              <w:rPr>
                <w:webHidden/>
              </w:rPr>
              <w:fldChar w:fldCharType="begin"/>
            </w:r>
            <w:r w:rsidRPr="00705C2D">
              <w:rPr>
                <w:webHidden/>
              </w:rPr>
              <w:instrText xml:space="preserve"> PAGEREF _Toc228182400 \h </w:instrText>
            </w:r>
            <w:r w:rsidRPr="00705C2D">
              <w:rPr>
                <w:webHidden/>
              </w:rPr>
            </w:r>
            <w:r w:rsidRPr="00705C2D">
              <w:rPr>
                <w:webHidden/>
              </w:rPr>
              <w:fldChar w:fldCharType="separate"/>
            </w:r>
            <w:r w:rsidRPr="00705C2D">
              <w:rPr>
                <w:webHidden/>
              </w:rPr>
              <w:t>8</w:t>
            </w:r>
            <w:r w:rsidRPr="00705C2D">
              <w:rPr>
                <w:webHidden/>
              </w:rPr>
              <w:fldChar w:fldCharType="end"/>
            </w:r>
          </w:hyperlink>
        </w:p>
        <w:p w14:paraId="0714D8C8" w14:textId="53609761" w:rsidR="008211DB" w:rsidRPr="00705C2D" w:rsidRDefault="008211DB">
          <w:pPr>
            <w:pStyle w:val="TOC1"/>
            <w:tabs>
              <w:tab w:val="right" w:leader="dot" w:pos="8630"/>
            </w:tabs>
          </w:pPr>
          <w:hyperlink w:anchor="_Toc228182401" w:history="1">
            <w:r w:rsidRPr="00705C2D">
              <w:rPr>
                <w:rStyle w:val="Hyperlink"/>
              </w:rPr>
              <w:t>1.3 Time</w:t>
            </w:r>
            <w:r w:rsidRPr="00705C2D">
              <w:rPr>
                <w:webHidden/>
              </w:rPr>
              <w:tab/>
            </w:r>
            <w:r w:rsidRPr="00705C2D">
              <w:rPr>
                <w:webHidden/>
              </w:rPr>
              <w:fldChar w:fldCharType="begin"/>
            </w:r>
            <w:r w:rsidRPr="00705C2D">
              <w:rPr>
                <w:webHidden/>
              </w:rPr>
              <w:instrText xml:space="preserve"> PAGEREF _Toc228182401 \h </w:instrText>
            </w:r>
            <w:r w:rsidRPr="00705C2D">
              <w:rPr>
                <w:webHidden/>
              </w:rPr>
            </w:r>
            <w:r w:rsidRPr="00705C2D">
              <w:rPr>
                <w:webHidden/>
              </w:rPr>
              <w:fldChar w:fldCharType="separate"/>
            </w:r>
            <w:r w:rsidRPr="00705C2D">
              <w:rPr>
                <w:webHidden/>
              </w:rPr>
              <w:t>9</w:t>
            </w:r>
            <w:r w:rsidRPr="00705C2D">
              <w:rPr>
                <w:webHidden/>
              </w:rPr>
              <w:fldChar w:fldCharType="end"/>
            </w:r>
          </w:hyperlink>
        </w:p>
        <w:p w14:paraId="45CD35F7" w14:textId="74E0CD1B" w:rsidR="008211DB" w:rsidRPr="00705C2D" w:rsidRDefault="008211DB">
          <w:pPr>
            <w:pStyle w:val="TOC1"/>
            <w:tabs>
              <w:tab w:val="right" w:leader="dot" w:pos="8630"/>
            </w:tabs>
          </w:pPr>
          <w:hyperlink w:anchor="_Toc228182402" w:history="1">
            <w:r w:rsidRPr="00705C2D">
              <w:rPr>
                <w:rStyle w:val="Hyperlink"/>
              </w:rPr>
              <w:t>2.1 Phone vs Video Call</w:t>
            </w:r>
            <w:r w:rsidRPr="00705C2D">
              <w:rPr>
                <w:webHidden/>
              </w:rPr>
              <w:tab/>
            </w:r>
            <w:r w:rsidRPr="00705C2D">
              <w:rPr>
                <w:webHidden/>
              </w:rPr>
              <w:fldChar w:fldCharType="begin"/>
            </w:r>
            <w:r w:rsidRPr="00705C2D">
              <w:rPr>
                <w:webHidden/>
              </w:rPr>
              <w:instrText xml:space="preserve"> PAGEREF _Toc228182402 \h </w:instrText>
            </w:r>
            <w:r w:rsidRPr="00705C2D">
              <w:rPr>
                <w:webHidden/>
              </w:rPr>
            </w:r>
            <w:r w:rsidRPr="00705C2D">
              <w:rPr>
                <w:webHidden/>
              </w:rPr>
              <w:fldChar w:fldCharType="separate"/>
            </w:r>
            <w:r w:rsidRPr="00705C2D">
              <w:rPr>
                <w:webHidden/>
              </w:rPr>
              <w:t>11</w:t>
            </w:r>
            <w:r w:rsidRPr="00705C2D">
              <w:rPr>
                <w:webHidden/>
              </w:rPr>
              <w:fldChar w:fldCharType="end"/>
            </w:r>
          </w:hyperlink>
        </w:p>
        <w:p w14:paraId="6C9C1F3E" w14:textId="25DDE17A" w:rsidR="008211DB" w:rsidRPr="00705C2D" w:rsidRDefault="008211DB">
          <w:pPr>
            <w:pStyle w:val="TOC1"/>
            <w:tabs>
              <w:tab w:val="right" w:leader="dot" w:pos="8630"/>
            </w:tabs>
          </w:pPr>
          <w:hyperlink w:anchor="_Toc228182403" w:history="1">
            <w:r w:rsidRPr="00705C2D">
              <w:rPr>
                <w:rStyle w:val="Hyperlink"/>
              </w:rPr>
              <w:t>2.2 Internet Connection</w:t>
            </w:r>
            <w:r w:rsidRPr="00705C2D">
              <w:rPr>
                <w:webHidden/>
              </w:rPr>
              <w:tab/>
            </w:r>
            <w:r w:rsidRPr="00705C2D">
              <w:rPr>
                <w:webHidden/>
              </w:rPr>
              <w:fldChar w:fldCharType="begin"/>
            </w:r>
            <w:r w:rsidRPr="00705C2D">
              <w:rPr>
                <w:webHidden/>
              </w:rPr>
              <w:instrText xml:space="preserve"> PAGEREF _Toc228182403 \h </w:instrText>
            </w:r>
            <w:r w:rsidRPr="00705C2D">
              <w:rPr>
                <w:webHidden/>
              </w:rPr>
            </w:r>
            <w:r w:rsidRPr="00705C2D">
              <w:rPr>
                <w:webHidden/>
              </w:rPr>
              <w:fldChar w:fldCharType="separate"/>
            </w:r>
            <w:r w:rsidRPr="00705C2D">
              <w:rPr>
                <w:webHidden/>
              </w:rPr>
              <w:t>12</w:t>
            </w:r>
            <w:r w:rsidRPr="00705C2D">
              <w:rPr>
                <w:webHidden/>
              </w:rPr>
              <w:fldChar w:fldCharType="end"/>
            </w:r>
          </w:hyperlink>
        </w:p>
        <w:p w14:paraId="3C67778C" w14:textId="7CD5442B" w:rsidR="008211DB" w:rsidRPr="00705C2D" w:rsidRDefault="008211DB">
          <w:pPr>
            <w:pStyle w:val="TOC1"/>
            <w:tabs>
              <w:tab w:val="right" w:leader="dot" w:pos="8630"/>
            </w:tabs>
          </w:pPr>
          <w:hyperlink w:anchor="_Toc228182404" w:history="1">
            <w:r w:rsidRPr="00705C2D">
              <w:rPr>
                <w:rStyle w:val="Hyperlink"/>
              </w:rPr>
              <w:t>2.3 Security</w:t>
            </w:r>
            <w:r w:rsidRPr="00705C2D">
              <w:rPr>
                <w:webHidden/>
              </w:rPr>
              <w:tab/>
            </w:r>
            <w:r w:rsidRPr="00705C2D">
              <w:rPr>
                <w:webHidden/>
              </w:rPr>
              <w:fldChar w:fldCharType="begin"/>
            </w:r>
            <w:r w:rsidRPr="00705C2D">
              <w:rPr>
                <w:webHidden/>
              </w:rPr>
              <w:instrText xml:space="preserve"> PAGEREF _Toc228182404 \h </w:instrText>
            </w:r>
            <w:r w:rsidRPr="00705C2D">
              <w:rPr>
                <w:webHidden/>
              </w:rPr>
            </w:r>
            <w:r w:rsidRPr="00705C2D">
              <w:rPr>
                <w:webHidden/>
              </w:rPr>
              <w:fldChar w:fldCharType="separate"/>
            </w:r>
            <w:r w:rsidRPr="00705C2D">
              <w:rPr>
                <w:webHidden/>
              </w:rPr>
              <w:t>13</w:t>
            </w:r>
            <w:r w:rsidRPr="00705C2D">
              <w:rPr>
                <w:webHidden/>
              </w:rPr>
              <w:fldChar w:fldCharType="end"/>
            </w:r>
          </w:hyperlink>
        </w:p>
        <w:p w14:paraId="68621098" w14:textId="057DEEDA" w:rsidR="008211DB" w:rsidRPr="00705C2D" w:rsidRDefault="008211DB">
          <w:pPr>
            <w:pStyle w:val="TOC1"/>
            <w:tabs>
              <w:tab w:val="right" w:leader="dot" w:pos="8630"/>
            </w:tabs>
          </w:pPr>
          <w:hyperlink w:anchor="_Toc228182405" w:history="1">
            <w:r w:rsidRPr="00705C2D">
              <w:rPr>
                <w:rStyle w:val="Hyperlink"/>
              </w:rPr>
              <w:t>3.1 Devices</w:t>
            </w:r>
            <w:r w:rsidRPr="00705C2D">
              <w:rPr>
                <w:webHidden/>
              </w:rPr>
              <w:tab/>
            </w:r>
            <w:r w:rsidRPr="00705C2D">
              <w:rPr>
                <w:webHidden/>
              </w:rPr>
              <w:fldChar w:fldCharType="begin"/>
            </w:r>
            <w:r w:rsidRPr="00705C2D">
              <w:rPr>
                <w:webHidden/>
              </w:rPr>
              <w:instrText xml:space="preserve"> PAGEREF _Toc228182405 \h </w:instrText>
            </w:r>
            <w:r w:rsidRPr="00705C2D">
              <w:rPr>
                <w:webHidden/>
              </w:rPr>
            </w:r>
            <w:r w:rsidRPr="00705C2D">
              <w:rPr>
                <w:webHidden/>
              </w:rPr>
              <w:fldChar w:fldCharType="separate"/>
            </w:r>
            <w:r w:rsidRPr="00705C2D">
              <w:rPr>
                <w:webHidden/>
              </w:rPr>
              <w:t>14</w:t>
            </w:r>
            <w:r w:rsidRPr="00705C2D">
              <w:rPr>
                <w:webHidden/>
              </w:rPr>
              <w:fldChar w:fldCharType="end"/>
            </w:r>
          </w:hyperlink>
        </w:p>
        <w:p w14:paraId="15239626" w14:textId="1322A587" w:rsidR="008211DB" w:rsidRPr="00705C2D" w:rsidRDefault="008211DB">
          <w:pPr>
            <w:pStyle w:val="TOC1"/>
            <w:tabs>
              <w:tab w:val="right" w:leader="dot" w:pos="8630"/>
            </w:tabs>
          </w:pPr>
          <w:hyperlink w:anchor="_Toc228182406" w:history="1">
            <w:r w:rsidRPr="00705C2D">
              <w:rPr>
                <w:rStyle w:val="Hyperlink"/>
              </w:rPr>
              <w:t>3.2 Data Types &amp; Quality</w:t>
            </w:r>
            <w:r w:rsidRPr="00705C2D">
              <w:rPr>
                <w:webHidden/>
              </w:rPr>
              <w:tab/>
            </w:r>
            <w:r w:rsidRPr="00705C2D">
              <w:rPr>
                <w:webHidden/>
              </w:rPr>
              <w:fldChar w:fldCharType="begin"/>
            </w:r>
            <w:r w:rsidRPr="00705C2D">
              <w:rPr>
                <w:webHidden/>
              </w:rPr>
              <w:instrText xml:space="preserve"> PAGEREF _Toc228182406 \h </w:instrText>
            </w:r>
            <w:r w:rsidRPr="00705C2D">
              <w:rPr>
                <w:webHidden/>
              </w:rPr>
            </w:r>
            <w:r w:rsidRPr="00705C2D">
              <w:rPr>
                <w:webHidden/>
              </w:rPr>
              <w:fldChar w:fldCharType="separate"/>
            </w:r>
            <w:r w:rsidRPr="00705C2D">
              <w:rPr>
                <w:webHidden/>
              </w:rPr>
              <w:t>15</w:t>
            </w:r>
            <w:r w:rsidRPr="00705C2D">
              <w:rPr>
                <w:webHidden/>
              </w:rPr>
              <w:fldChar w:fldCharType="end"/>
            </w:r>
          </w:hyperlink>
        </w:p>
        <w:p w14:paraId="1143FE1C" w14:textId="0F869672" w:rsidR="008211DB" w:rsidRPr="00705C2D" w:rsidRDefault="008211DB">
          <w:pPr>
            <w:pStyle w:val="TOC1"/>
            <w:tabs>
              <w:tab w:val="right" w:leader="dot" w:pos="8630"/>
            </w:tabs>
          </w:pPr>
          <w:hyperlink w:anchor="_Toc228182407" w:history="1">
            <w:r w:rsidRPr="00705C2D">
              <w:rPr>
                <w:rStyle w:val="Hyperlink"/>
              </w:rPr>
              <w:t>3.3 Interoperability &amp; Information Flow</w:t>
            </w:r>
            <w:r w:rsidRPr="00705C2D">
              <w:rPr>
                <w:webHidden/>
              </w:rPr>
              <w:tab/>
            </w:r>
            <w:r w:rsidRPr="00705C2D">
              <w:rPr>
                <w:webHidden/>
              </w:rPr>
              <w:fldChar w:fldCharType="begin"/>
            </w:r>
            <w:r w:rsidRPr="00705C2D">
              <w:rPr>
                <w:webHidden/>
              </w:rPr>
              <w:instrText xml:space="preserve"> PAGEREF _Toc228182407 \h </w:instrText>
            </w:r>
            <w:r w:rsidRPr="00705C2D">
              <w:rPr>
                <w:webHidden/>
              </w:rPr>
            </w:r>
            <w:r w:rsidRPr="00705C2D">
              <w:rPr>
                <w:webHidden/>
              </w:rPr>
              <w:fldChar w:fldCharType="separate"/>
            </w:r>
            <w:r w:rsidRPr="00705C2D">
              <w:rPr>
                <w:webHidden/>
              </w:rPr>
              <w:t>16</w:t>
            </w:r>
            <w:r w:rsidRPr="00705C2D">
              <w:rPr>
                <w:webHidden/>
              </w:rPr>
              <w:fldChar w:fldCharType="end"/>
            </w:r>
          </w:hyperlink>
        </w:p>
        <w:p w14:paraId="78782487" w14:textId="5B5EE4DD" w:rsidR="008211DB" w:rsidRPr="00705C2D" w:rsidRDefault="008211DB">
          <w:pPr>
            <w:pStyle w:val="TOC1"/>
            <w:tabs>
              <w:tab w:val="right" w:leader="dot" w:pos="8630"/>
            </w:tabs>
          </w:pPr>
          <w:hyperlink w:anchor="_Toc228182408" w:history="1">
            <w:r w:rsidRPr="00705C2D">
              <w:rPr>
                <w:rStyle w:val="Hyperlink"/>
              </w:rPr>
              <w:t>4.1 Additional User Needs</w:t>
            </w:r>
            <w:r w:rsidRPr="00705C2D">
              <w:rPr>
                <w:webHidden/>
              </w:rPr>
              <w:tab/>
            </w:r>
            <w:r w:rsidRPr="00705C2D">
              <w:rPr>
                <w:webHidden/>
              </w:rPr>
              <w:fldChar w:fldCharType="begin"/>
            </w:r>
            <w:r w:rsidRPr="00705C2D">
              <w:rPr>
                <w:webHidden/>
              </w:rPr>
              <w:instrText xml:space="preserve"> PAGEREF _Toc228182408 \h </w:instrText>
            </w:r>
            <w:r w:rsidRPr="00705C2D">
              <w:rPr>
                <w:webHidden/>
              </w:rPr>
            </w:r>
            <w:r w:rsidRPr="00705C2D">
              <w:rPr>
                <w:webHidden/>
              </w:rPr>
              <w:fldChar w:fldCharType="separate"/>
            </w:r>
            <w:r w:rsidRPr="00705C2D">
              <w:rPr>
                <w:webHidden/>
              </w:rPr>
              <w:t>18</w:t>
            </w:r>
            <w:r w:rsidRPr="00705C2D">
              <w:rPr>
                <w:webHidden/>
              </w:rPr>
              <w:fldChar w:fldCharType="end"/>
            </w:r>
          </w:hyperlink>
        </w:p>
        <w:p w14:paraId="341E3D43" w14:textId="3999E90F" w:rsidR="008211DB" w:rsidRPr="00705C2D" w:rsidRDefault="008211DB">
          <w:pPr>
            <w:pStyle w:val="TOC1"/>
            <w:tabs>
              <w:tab w:val="right" w:leader="dot" w:pos="8630"/>
            </w:tabs>
          </w:pPr>
          <w:hyperlink w:anchor="_Toc228182409" w:history="1">
            <w:r w:rsidRPr="00705C2D">
              <w:rPr>
                <w:rStyle w:val="Hyperlink"/>
              </w:rPr>
              <w:t>4.2 Digital Divide</w:t>
            </w:r>
            <w:r w:rsidRPr="00705C2D">
              <w:rPr>
                <w:webHidden/>
              </w:rPr>
              <w:tab/>
            </w:r>
            <w:r w:rsidRPr="00705C2D">
              <w:rPr>
                <w:webHidden/>
              </w:rPr>
              <w:fldChar w:fldCharType="begin"/>
            </w:r>
            <w:r w:rsidRPr="00705C2D">
              <w:rPr>
                <w:webHidden/>
              </w:rPr>
              <w:instrText xml:space="preserve"> PAGEREF _Toc228182409 \h </w:instrText>
            </w:r>
            <w:r w:rsidRPr="00705C2D">
              <w:rPr>
                <w:webHidden/>
              </w:rPr>
            </w:r>
            <w:r w:rsidRPr="00705C2D">
              <w:rPr>
                <w:webHidden/>
              </w:rPr>
              <w:fldChar w:fldCharType="separate"/>
            </w:r>
            <w:r w:rsidRPr="00705C2D">
              <w:rPr>
                <w:webHidden/>
              </w:rPr>
              <w:t>19</w:t>
            </w:r>
            <w:r w:rsidRPr="00705C2D">
              <w:rPr>
                <w:webHidden/>
              </w:rPr>
              <w:fldChar w:fldCharType="end"/>
            </w:r>
          </w:hyperlink>
        </w:p>
        <w:p w14:paraId="072114AD" w14:textId="5EB113DB" w:rsidR="008211DB" w:rsidRPr="00705C2D" w:rsidRDefault="008211DB">
          <w:pPr>
            <w:pStyle w:val="TOC1"/>
            <w:tabs>
              <w:tab w:val="right" w:leader="dot" w:pos="8630"/>
            </w:tabs>
          </w:pPr>
          <w:hyperlink w:anchor="_Toc228182410" w:history="1">
            <w:r w:rsidRPr="00705C2D">
              <w:rPr>
                <w:rStyle w:val="Hyperlink"/>
              </w:rPr>
              <w:t>5.1 Legal / Legislative Requirements</w:t>
            </w:r>
            <w:r w:rsidRPr="00705C2D">
              <w:rPr>
                <w:webHidden/>
              </w:rPr>
              <w:tab/>
            </w:r>
            <w:r w:rsidRPr="00705C2D">
              <w:rPr>
                <w:webHidden/>
              </w:rPr>
              <w:fldChar w:fldCharType="begin"/>
            </w:r>
            <w:r w:rsidRPr="00705C2D">
              <w:rPr>
                <w:webHidden/>
              </w:rPr>
              <w:instrText xml:space="preserve"> PAGEREF _Toc228182410 \h </w:instrText>
            </w:r>
            <w:r w:rsidRPr="00705C2D">
              <w:rPr>
                <w:webHidden/>
              </w:rPr>
            </w:r>
            <w:r w:rsidRPr="00705C2D">
              <w:rPr>
                <w:webHidden/>
              </w:rPr>
              <w:fldChar w:fldCharType="separate"/>
            </w:r>
            <w:r w:rsidRPr="00705C2D">
              <w:rPr>
                <w:webHidden/>
              </w:rPr>
              <w:t>20</w:t>
            </w:r>
            <w:r w:rsidRPr="00705C2D">
              <w:rPr>
                <w:webHidden/>
              </w:rPr>
              <w:fldChar w:fldCharType="end"/>
            </w:r>
          </w:hyperlink>
        </w:p>
        <w:p w14:paraId="1B22E274" w14:textId="0565EABC" w:rsidR="008211DB" w:rsidRPr="00705C2D" w:rsidRDefault="008211DB">
          <w:pPr>
            <w:pStyle w:val="TOC1"/>
            <w:tabs>
              <w:tab w:val="right" w:leader="dot" w:pos="8630"/>
            </w:tabs>
          </w:pPr>
          <w:hyperlink w:anchor="_Toc228182411" w:history="1">
            <w:r w:rsidRPr="00705C2D">
              <w:rPr>
                <w:rStyle w:val="Hyperlink"/>
              </w:rPr>
              <w:t>5.2 Organisational &amp; National Regulations</w:t>
            </w:r>
            <w:r w:rsidRPr="00705C2D">
              <w:rPr>
                <w:webHidden/>
              </w:rPr>
              <w:tab/>
            </w:r>
            <w:r w:rsidRPr="00705C2D">
              <w:rPr>
                <w:webHidden/>
              </w:rPr>
              <w:fldChar w:fldCharType="begin"/>
            </w:r>
            <w:r w:rsidRPr="00705C2D">
              <w:rPr>
                <w:webHidden/>
              </w:rPr>
              <w:instrText xml:space="preserve"> PAGEREF _Toc228182411 \h </w:instrText>
            </w:r>
            <w:r w:rsidRPr="00705C2D">
              <w:rPr>
                <w:webHidden/>
              </w:rPr>
            </w:r>
            <w:r w:rsidRPr="00705C2D">
              <w:rPr>
                <w:webHidden/>
              </w:rPr>
              <w:fldChar w:fldCharType="separate"/>
            </w:r>
            <w:r w:rsidRPr="00705C2D">
              <w:rPr>
                <w:webHidden/>
              </w:rPr>
              <w:t>21</w:t>
            </w:r>
            <w:r w:rsidRPr="00705C2D">
              <w:rPr>
                <w:webHidden/>
              </w:rPr>
              <w:fldChar w:fldCharType="end"/>
            </w:r>
          </w:hyperlink>
        </w:p>
        <w:p w14:paraId="5CB790B7" w14:textId="31EAF0FC" w:rsidR="008211DB" w:rsidRPr="00705C2D" w:rsidRDefault="008211DB">
          <w:r w:rsidRPr="00705C2D">
            <w:rPr>
              <w:b/>
              <w:bCs/>
            </w:rPr>
            <w:fldChar w:fldCharType="end"/>
          </w:r>
        </w:p>
      </w:sdtContent>
    </w:sdt>
    <w:p w14:paraId="29D2F866" w14:textId="1D903A12" w:rsidR="005E78A1" w:rsidRPr="00705C2D" w:rsidRDefault="005E78A1">
      <w:pPr>
        <w:rPr>
          <w:rFonts w:asciiTheme="majorHAnsi" w:eastAsiaTheme="majorEastAsia" w:hAnsiTheme="majorHAnsi" w:cstheme="majorBidi"/>
          <w:b/>
          <w:bCs/>
          <w:color w:val="365F91" w:themeColor="accent1" w:themeShade="BF"/>
          <w:sz w:val="28"/>
          <w:szCs w:val="28"/>
        </w:rPr>
      </w:pPr>
      <w:r w:rsidRPr="00705C2D">
        <w:br w:type="page"/>
      </w:r>
    </w:p>
    <w:p w14:paraId="32BDED00" w14:textId="5AB9ED57" w:rsidR="00560493" w:rsidRPr="00705C2D" w:rsidRDefault="00560493" w:rsidP="00560493">
      <w:pPr>
        <w:pStyle w:val="Heading1"/>
      </w:pPr>
      <w:bookmarkStart w:id="0" w:name="_Toc228182389"/>
      <w:r w:rsidRPr="00705C2D">
        <w:lastRenderedPageBreak/>
        <w:t>Table of Acronyms:</w:t>
      </w:r>
      <w:bookmarkEnd w:id="0"/>
    </w:p>
    <w:p w14:paraId="432B79CF" w14:textId="77777777" w:rsidR="00B07C02" w:rsidRPr="00705C2D" w:rsidRDefault="00B07C02">
      <w:pPr>
        <w:rPr>
          <w:highlight w:val="lightGray"/>
        </w:rPr>
      </w:pPr>
    </w:p>
    <w:tbl>
      <w:tblPr>
        <w:tblStyle w:val="PlainTable3"/>
        <w:tblW w:w="0" w:type="auto"/>
        <w:tblLook w:val="04A0" w:firstRow="1" w:lastRow="0" w:firstColumn="1" w:lastColumn="0" w:noHBand="0" w:noVBand="1"/>
      </w:tblPr>
      <w:tblGrid>
        <w:gridCol w:w="1129"/>
        <w:gridCol w:w="1985"/>
        <w:gridCol w:w="5516"/>
      </w:tblGrid>
      <w:tr w:rsidR="005E78A1" w:rsidRPr="00705C2D" w14:paraId="59580420" w14:textId="77777777" w:rsidTr="005E78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p w14:paraId="2020D29E" w14:textId="52A590E2" w:rsidR="005E78A1" w:rsidRPr="00705C2D" w:rsidRDefault="005E78A1" w:rsidP="005E78A1">
            <w:pPr>
              <w:rPr>
                <w:sz w:val="18"/>
                <w:szCs w:val="18"/>
                <w:highlight w:val="lightGray"/>
              </w:rPr>
            </w:pPr>
            <w:r w:rsidRPr="00705C2D">
              <w:rPr>
                <w:rFonts w:ascii="Aptos Narrow" w:hAnsi="Aptos Narrow"/>
                <w:color w:val="000000"/>
                <w:sz w:val="18"/>
                <w:szCs w:val="18"/>
              </w:rPr>
              <w:t>Acronym</w:t>
            </w:r>
          </w:p>
        </w:tc>
        <w:tc>
          <w:tcPr>
            <w:tcW w:w="1985" w:type="dxa"/>
          </w:tcPr>
          <w:p w14:paraId="263CACAD" w14:textId="34B40984" w:rsidR="005E78A1" w:rsidRPr="00705C2D" w:rsidRDefault="005E78A1" w:rsidP="005E78A1">
            <w:pPr>
              <w:cnfStyle w:val="100000000000" w:firstRow="1"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Full Term</w:t>
            </w:r>
          </w:p>
        </w:tc>
        <w:tc>
          <w:tcPr>
            <w:tcW w:w="5516" w:type="dxa"/>
          </w:tcPr>
          <w:p w14:paraId="00B921F2" w14:textId="79DDD781" w:rsidR="005E78A1" w:rsidRPr="00705C2D" w:rsidRDefault="005E78A1" w:rsidP="005E78A1">
            <w:pPr>
              <w:cnfStyle w:val="100000000000" w:firstRow="1"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Description</w:t>
            </w:r>
          </w:p>
        </w:tc>
      </w:tr>
      <w:tr w:rsidR="005E78A1" w:rsidRPr="00705C2D" w14:paraId="6AFD0519"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0A316D8" w14:textId="4EA165CD" w:rsidR="005E78A1" w:rsidRPr="00705C2D" w:rsidRDefault="005E78A1" w:rsidP="005E78A1">
            <w:pPr>
              <w:rPr>
                <w:sz w:val="18"/>
                <w:szCs w:val="18"/>
                <w:highlight w:val="lightGray"/>
              </w:rPr>
            </w:pPr>
            <w:r w:rsidRPr="00705C2D">
              <w:rPr>
                <w:rFonts w:ascii="Aptos Narrow" w:hAnsi="Aptos Narrow"/>
                <w:color w:val="000000"/>
                <w:sz w:val="18"/>
                <w:szCs w:val="18"/>
              </w:rPr>
              <w:t>ADSL</w:t>
            </w:r>
          </w:p>
        </w:tc>
        <w:tc>
          <w:tcPr>
            <w:tcW w:w="1985" w:type="dxa"/>
          </w:tcPr>
          <w:p w14:paraId="2BB02BE5" w14:textId="20CB3FB8"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Asymmetric Digital Subscriber Line</w:t>
            </w:r>
          </w:p>
        </w:tc>
        <w:tc>
          <w:tcPr>
            <w:tcW w:w="5516" w:type="dxa"/>
          </w:tcPr>
          <w:p w14:paraId="2090B859" w14:textId="30582BF1"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legacy broadband technology using copper telephone lines, typically offering lower speeds and stability compared to fibre.</w:t>
            </w:r>
          </w:p>
        </w:tc>
      </w:tr>
      <w:tr w:rsidR="005E78A1" w:rsidRPr="00705C2D" w14:paraId="61359A61"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07B976F6" w14:textId="419A9BEF" w:rsidR="005E78A1" w:rsidRPr="00705C2D" w:rsidRDefault="005E78A1" w:rsidP="005E78A1">
            <w:pPr>
              <w:rPr>
                <w:sz w:val="18"/>
                <w:szCs w:val="18"/>
                <w:highlight w:val="lightGray"/>
              </w:rPr>
            </w:pPr>
            <w:r w:rsidRPr="00705C2D">
              <w:rPr>
                <w:rFonts w:ascii="Aptos Narrow" w:hAnsi="Aptos Narrow"/>
                <w:color w:val="000000"/>
                <w:sz w:val="18"/>
                <w:szCs w:val="18"/>
              </w:rPr>
              <w:t>AI</w:t>
            </w:r>
          </w:p>
        </w:tc>
        <w:tc>
          <w:tcPr>
            <w:tcW w:w="1985" w:type="dxa"/>
          </w:tcPr>
          <w:p w14:paraId="71157DFA" w14:textId="635D026E"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Artificial Intelligence</w:t>
            </w:r>
          </w:p>
        </w:tc>
        <w:tc>
          <w:tcPr>
            <w:tcW w:w="5516" w:type="dxa"/>
          </w:tcPr>
          <w:p w14:paraId="608ECC04" w14:textId="0233114D"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Computer systems designed to perform tasks that typically require human intelligence, such as transcription or data analysis.</w:t>
            </w:r>
          </w:p>
        </w:tc>
      </w:tr>
      <w:tr w:rsidR="005E78A1" w:rsidRPr="00705C2D" w14:paraId="7591FA89"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0706EC7" w14:textId="7C2B7A8E" w:rsidR="005E78A1" w:rsidRPr="00705C2D" w:rsidRDefault="005E78A1" w:rsidP="005E78A1">
            <w:pPr>
              <w:rPr>
                <w:sz w:val="18"/>
                <w:szCs w:val="18"/>
                <w:highlight w:val="lightGray"/>
              </w:rPr>
            </w:pPr>
            <w:r w:rsidRPr="00705C2D">
              <w:rPr>
                <w:rFonts w:ascii="Aptos Narrow" w:hAnsi="Aptos Narrow"/>
                <w:color w:val="000000"/>
                <w:sz w:val="18"/>
                <w:szCs w:val="18"/>
              </w:rPr>
              <w:t>CF</w:t>
            </w:r>
          </w:p>
        </w:tc>
        <w:tc>
          <w:tcPr>
            <w:tcW w:w="1985" w:type="dxa"/>
          </w:tcPr>
          <w:p w14:paraId="5456A594" w14:textId="2B0993A6"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Cystic Fibrosis</w:t>
            </w:r>
          </w:p>
        </w:tc>
        <w:tc>
          <w:tcPr>
            <w:tcW w:w="5516" w:type="dxa"/>
          </w:tcPr>
          <w:p w14:paraId="1B1AFE14" w14:textId="29720DAA"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genetic, multisystem disease affecting the lungs, digestive system, and other organs, requiring specialised multidisciplinary care.</w:t>
            </w:r>
          </w:p>
        </w:tc>
      </w:tr>
      <w:tr w:rsidR="005E78A1" w:rsidRPr="00705C2D" w14:paraId="19F8B853"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7C455F97" w14:textId="1782FBBE" w:rsidR="005E78A1" w:rsidRPr="00705C2D" w:rsidRDefault="005E78A1" w:rsidP="005E78A1">
            <w:pPr>
              <w:rPr>
                <w:sz w:val="18"/>
                <w:szCs w:val="18"/>
                <w:highlight w:val="lightGray"/>
              </w:rPr>
            </w:pPr>
            <w:r w:rsidRPr="00705C2D">
              <w:rPr>
                <w:rFonts w:ascii="Aptos Narrow" w:hAnsi="Aptos Narrow"/>
                <w:color w:val="000000"/>
                <w:sz w:val="18"/>
                <w:szCs w:val="18"/>
              </w:rPr>
              <w:t>DPA</w:t>
            </w:r>
          </w:p>
        </w:tc>
        <w:tc>
          <w:tcPr>
            <w:tcW w:w="1985" w:type="dxa"/>
          </w:tcPr>
          <w:p w14:paraId="0C710D95" w14:textId="1700585B"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Data Processing Agreement</w:t>
            </w:r>
          </w:p>
        </w:tc>
        <w:tc>
          <w:tcPr>
            <w:tcW w:w="5516" w:type="dxa"/>
          </w:tcPr>
          <w:p w14:paraId="6822CBFE" w14:textId="034A549C"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legally required contract defining responsibilities between a data controller and a data processor under GDPR.</w:t>
            </w:r>
          </w:p>
        </w:tc>
      </w:tr>
      <w:tr w:rsidR="005E78A1" w:rsidRPr="00705C2D" w14:paraId="0C0BD25C"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5C414F3" w14:textId="559C84F7" w:rsidR="005E78A1" w:rsidRPr="00705C2D" w:rsidRDefault="005E78A1" w:rsidP="005E78A1">
            <w:pPr>
              <w:rPr>
                <w:sz w:val="18"/>
                <w:szCs w:val="18"/>
                <w:highlight w:val="lightGray"/>
              </w:rPr>
            </w:pPr>
            <w:r w:rsidRPr="00705C2D">
              <w:rPr>
                <w:rFonts w:ascii="Aptos Narrow" w:hAnsi="Aptos Narrow"/>
                <w:color w:val="000000"/>
                <w:sz w:val="18"/>
                <w:szCs w:val="18"/>
              </w:rPr>
              <w:t>DPIA</w:t>
            </w:r>
          </w:p>
        </w:tc>
        <w:tc>
          <w:tcPr>
            <w:tcW w:w="1985" w:type="dxa"/>
          </w:tcPr>
          <w:p w14:paraId="7E64B572" w14:textId="70A5DC95"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Data Protection Impact Assessment</w:t>
            </w:r>
          </w:p>
        </w:tc>
        <w:tc>
          <w:tcPr>
            <w:tcW w:w="5516" w:type="dxa"/>
          </w:tcPr>
          <w:p w14:paraId="7891CA53" w14:textId="260C43B4"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formal assessment required under GDPR to identify and mitigate risks associated with high</w:t>
            </w:r>
            <w:r w:rsidRPr="00705C2D">
              <w:rPr>
                <w:rFonts w:ascii="Aptos Narrow" w:hAnsi="Aptos Narrow"/>
                <w:color w:val="000000"/>
                <w:sz w:val="18"/>
                <w:szCs w:val="18"/>
              </w:rPr>
              <w:noBreakHyphen/>
              <w:t>risk data processing activities.</w:t>
            </w:r>
          </w:p>
        </w:tc>
      </w:tr>
      <w:tr w:rsidR="005E78A1" w:rsidRPr="00705C2D" w14:paraId="3BC9F832"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3C91BECE" w14:textId="3F8E28BB" w:rsidR="005E78A1" w:rsidRPr="00705C2D" w:rsidRDefault="005E78A1" w:rsidP="005E78A1">
            <w:pPr>
              <w:rPr>
                <w:sz w:val="18"/>
                <w:szCs w:val="18"/>
                <w:highlight w:val="lightGray"/>
              </w:rPr>
            </w:pPr>
            <w:r w:rsidRPr="00705C2D">
              <w:rPr>
                <w:rFonts w:ascii="Aptos Narrow" w:hAnsi="Aptos Narrow"/>
                <w:color w:val="000000"/>
                <w:sz w:val="18"/>
                <w:szCs w:val="18"/>
              </w:rPr>
              <w:t>DPO</w:t>
            </w:r>
          </w:p>
        </w:tc>
        <w:tc>
          <w:tcPr>
            <w:tcW w:w="1985" w:type="dxa"/>
          </w:tcPr>
          <w:p w14:paraId="3E51C532" w14:textId="4BBD6DB1"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Data Protection Officer</w:t>
            </w:r>
          </w:p>
        </w:tc>
        <w:tc>
          <w:tcPr>
            <w:tcW w:w="5516" w:type="dxa"/>
          </w:tcPr>
          <w:p w14:paraId="6206D944" w14:textId="3D25FE63"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designated role responsible for overseeing data protection strategy and GDPR compliance within an organisation.</w:t>
            </w:r>
          </w:p>
        </w:tc>
      </w:tr>
      <w:tr w:rsidR="005E78A1" w:rsidRPr="00705C2D" w14:paraId="6CA98493"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E435E9F" w14:textId="759CE2B2" w:rsidR="005E78A1" w:rsidRPr="00705C2D" w:rsidRDefault="005E78A1" w:rsidP="005E78A1">
            <w:pPr>
              <w:rPr>
                <w:sz w:val="18"/>
                <w:szCs w:val="18"/>
                <w:highlight w:val="lightGray"/>
              </w:rPr>
            </w:pPr>
            <w:r w:rsidRPr="00705C2D">
              <w:rPr>
                <w:rFonts w:ascii="Aptos Narrow" w:hAnsi="Aptos Narrow"/>
                <w:color w:val="000000"/>
                <w:sz w:val="18"/>
                <w:szCs w:val="18"/>
              </w:rPr>
              <w:t>EHR</w:t>
            </w:r>
          </w:p>
        </w:tc>
        <w:tc>
          <w:tcPr>
            <w:tcW w:w="1985" w:type="dxa"/>
          </w:tcPr>
          <w:p w14:paraId="0991C60B" w14:textId="1EB1B27D"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Electronic Health Record</w:t>
            </w:r>
          </w:p>
        </w:tc>
        <w:tc>
          <w:tcPr>
            <w:tcW w:w="5516" w:type="dxa"/>
          </w:tcPr>
          <w:p w14:paraId="38674407" w14:textId="22192793"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digital version of a patient’s medical record, serving as the primary system for clinical documentation and care continuity.</w:t>
            </w:r>
          </w:p>
        </w:tc>
      </w:tr>
      <w:tr w:rsidR="005E78A1" w:rsidRPr="00705C2D" w14:paraId="269A6038"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3E4FF8E8" w14:textId="3A0FF4CA" w:rsidR="005E78A1" w:rsidRPr="00705C2D" w:rsidRDefault="005E78A1" w:rsidP="005E78A1">
            <w:pPr>
              <w:rPr>
                <w:sz w:val="18"/>
                <w:szCs w:val="18"/>
                <w:highlight w:val="lightGray"/>
              </w:rPr>
            </w:pPr>
            <w:r w:rsidRPr="00705C2D">
              <w:rPr>
                <w:rFonts w:ascii="Aptos Narrow" w:hAnsi="Aptos Narrow"/>
                <w:color w:val="000000"/>
                <w:sz w:val="18"/>
                <w:szCs w:val="18"/>
              </w:rPr>
              <w:t>ECFS</w:t>
            </w:r>
          </w:p>
        </w:tc>
        <w:tc>
          <w:tcPr>
            <w:tcW w:w="1985" w:type="dxa"/>
          </w:tcPr>
          <w:p w14:paraId="1D0CBFB7" w14:textId="112EC0AD"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European Cystic Fibrosis Society</w:t>
            </w:r>
          </w:p>
        </w:tc>
        <w:tc>
          <w:tcPr>
            <w:tcW w:w="5516" w:type="dxa"/>
          </w:tcPr>
          <w:p w14:paraId="0D238462" w14:textId="49A277C7"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European professional organisation dedicated to improving care and outcomes for people with cystic fibrosis.</w:t>
            </w:r>
          </w:p>
        </w:tc>
      </w:tr>
      <w:tr w:rsidR="005E78A1" w:rsidRPr="00705C2D" w14:paraId="3285150C"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B6A1C2A" w14:textId="78D9D958" w:rsidR="005E78A1" w:rsidRPr="00705C2D" w:rsidRDefault="005E78A1" w:rsidP="005E78A1">
            <w:pPr>
              <w:rPr>
                <w:sz w:val="18"/>
                <w:szCs w:val="18"/>
                <w:highlight w:val="lightGray"/>
              </w:rPr>
            </w:pPr>
            <w:r w:rsidRPr="00705C2D">
              <w:rPr>
                <w:rFonts w:ascii="Aptos Narrow" w:hAnsi="Aptos Narrow"/>
                <w:color w:val="000000"/>
                <w:sz w:val="18"/>
                <w:szCs w:val="18"/>
              </w:rPr>
              <w:t>EU</w:t>
            </w:r>
          </w:p>
        </w:tc>
        <w:tc>
          <w:tcPr>
            <w:tcW w:w="1985" w:type="dxa"/>
          </w:tcPr>
          <w:p w14:paraId="00C7263E" w14:textId="5873ECD1"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European Union</w:t>
            </w:r>
          </w:p>
        </w:tc>
        <w:tc>
          <w:tcPr>
            <w:tcW w:w="5516" w:type="dxa"/>
          </w:tcPr>
          <w:p w14:paraId="7312C7BA" w14:textId="725104D6"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political and economic union of European member states, providing shared legal and regulatory frameworks.</w:t>
            </w:r>
          </w:p>
        </w:tc>
      </w:tr>
      <w:tr w:rsidR="005E78A1" w:rsidRPr="00705C2D" w14:paraId="3C027AC4"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368530B9" w14:textId="293369B3" w:rsidR="005E78A1" w:rsidRPr="00705C2D" w:rsidRDefault="005E78A1" w:rsidP="005E78A1">
            <w:pPr>
              <w:rPr>
                <w:sz w:val="18"/>
                <w:szCs w:val="18"/>
                <w:highlight w:val="lightGray"/>
              </w:rPr>
            </w:pPr>
            <w:r w:rsidRPr="00705C2D">
              <w:rPr>
                <w:rFonts w:ascii="Aptos Narrow" w:hAnsi="Aptos Narrow"/>
                <w:color w:val="000000"/>
                <w:sz w:val="18"/>
                <w:szCs w:val="18"/>
              </w:rPr>
              <w:t>FEV₁</w:t>
            </w:r>
          </w:p>
        </w:tc>
        <w:tc>
          <w:tcPr>
            <w:tcW w:w="1985" w:type="dxa"/>
          </w:tcPr>
          <w:p w14:paraId="2EAAE800" w14:textId="346AB77E"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Forced Expiratory Volume in 1 Second</w:t>
            </w:r>
          </w:p>
        </w:tc>
        <w:tc>
          <w:tcPr>
            <w:tcW w:w="5516" w:type="dxa"/>
          </w:tcPr>
          <w:p w14:paraId="6D9303B7" w14:textId="7D0E30D7"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key lung function parameter measuring the volume of air exhaled in the first second of a forced breath.</w:t>
            </w:r>
          </w:p>
        </w:tc>
      </w:tr>
      <w:tr w:rsidR="005E78A1" w:rsidRPr="00705C2D" w14:paraId="41F91CA9"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62C91A3" w14:textId="2474A0AB" w:rsidR="005E78A1" w:rsidRPr="00705C2D" w:rsidRDefault="005E78A1" w:rsidP="005E78A1">
            <w:pPr>
              <w:rPr>
                <w:sz w:val="18"/>
                <w:szCs w:val="18"/>
                <w:highlight w:val="lightGray"/>
              </w:rPr>
            </w:pPr>
            <w:r w:rsidRPr="00705C2D">
              <w:rPr>
                <w:rFonts w:ascii="Aptos Narrow" w:hAnsi="Aptos Narrow"/>
                <w:color w:val="000000"/>
                <w:sz w:val="18"/>
                <w:szCs w:val="18"/>
              </w:rPr>
              <w:t>FVC</w:t>
            </w:r>
          </w:p>
        </w:tc>
        <w:tc>
          <w:tcPr>
            <w:tcW w:w="1985" w:type="dxa"/>
          </w:tcPr>
          <w:p w14:paraId="36DBEB4A" w14:textId="29447DA4"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Forced Vital Capacity</w:t>
            </w:r>
          </w:p>
        </w:tc>
        <w:tc>
          <w:tcPr>
            <w:tcW w:w="5516" w:type="dxa"/>
          </w:tcPr>
          <w:p w14:paraId="2DDE3DE4" w14:textId="4394B4ED"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The total volume of air that can be forcibly exhaled after full inhalation.</w:t>
            </w:r>
          </w:p>
        </w:tc>
      </w:tr>
      <w:tr w:rsidR="005E78A1" w:rsidRPr="00705C2D" w14:paraId="70636B8A"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0CCD4827" w14:textId="3AEDB25A" w:rsidR="005E78A1" w:rsidRPr="00705C2D" w:rsidRDefault="005E78A1" w:rsidP="005E78A1">
            <w:pPr>
              <w:rPr>
                <w:sz w:val="18"/>
                <w:szCs w:val="18"/>
                <w:highlight w:val="lightGray"/>
              </w:rPr>
            </w:pPr>
            <w:r w:rsidRPr="00705C2D">
              <w:rPr>
                <w:rFonts w:ascii="Aptos Narrow" w:hAnsi="Aptos Narrow"/>
                <w:color w:val="000000"/>
                <w:sz w:val="18"/>
                <w:szCs w:val="18"/>
              </w:rPr>
              <w:t>FHIR</w:t>
            </w:r>
          </w:p>
        </w:tc>
        <w:tc>
          <w:tcPr>
            <w:tcW w:w="1985" w:type="dxa"/>
          </w:tcPr>
          <w:p w14:paraId="3A55C1F5" w14:textId="4BE000C2"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Fast Healthcare Interoperability Resources</w:t>
            </w:r>
          </w:p>
        </w:tc>
        <w:tc>
          <w:tcPr>
            <w:tcW w:w="5516" w:type="dxa"/>
          </w:tcPr>
          <w:p w14:paraId="06FE99EA" w14:textId="6B89F90D"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An international healthcare data standard developed by HL7 to support interoperable electronic health information exchange.</w:t>
            </w:r>
          </w:p>
        </w:tc>
      </w:tr>
      <w:tr w:rsidR="005E78A1" w:rsidRPr="00705C2D" w14:paraId="13A26AE7"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1217C8D" w14:textId="27245B1D" w:rsidR="005E78A1" w:rsidRPr="00705C2D" w:rsidRDefault="005E78A1" w:rsidP="005E78A1">
            <w:pPr>
              <w:rPr>
                <w:sz w:val="18"/>
                <w:szCs w:val="18"/>
                <w:highlight w:val="lightGray"/>
              </w:rPr>
            </w:pPr>
            <w:r w:rsidRPr="00705C2D">
              <w:rPr>
                <w:rFonts w:ascii="Aptos Narrow" w:hAnsi="Aptos Narrow"/>
                <w:color w:val="000000"/>
                <w:sz w:val="18"/>
                <w:szCs w:val="18"/>
              </w:rPr>
              <w:t>GDPR</w:t>
            </w:r>
          </w:p>
        </w:tc>
        <w:tc>
          <w:tcPr>
            <w:tcW w:w="1985" w:type="dxa"/>
          </w:tcPr>
          <w:p w14:paraId="6CB40AF5" w14:textId="38C836E3"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General Data Protection Regulation</w:t>
            </w:r>
          </w:p>
        </w:tc>
        <w:tc>
          <w:tcPr>
            <w:tcW w:w="5516" w:type="dxa"/>
          </w:tcPr>
          <w:p w14:paraId="52153BC2" w14:textId="73EE63A6"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EU legislation governing the protection, processing, and privacy of personal and health data.</w:t>
            </w:r>
          </w:p>
        </w:tc>
      </w:tr>
      <w:tr w:rsidR="005E78A1" w:rsidRPr="00705C2D" w14:paraId="07ED6F95"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58EBE932" w14:textId="1B71D88F" w:rsidR="005E78A1" w:rsidRPr="00705C2D" w:rsidRDefault="005E78A1" w:rsidP="005E78A1">
            <w:pPr>
              <w:rPr>
                <w:sz w:val="18"/>
                <w:szCs w:val="18"/>
                <w:highlight w:val="lightGray"/>
              </w:rPr>
            </w:pPr>
            <w:r w:rsidRPr="00705C2D">
              <w:rPr>
                <w:rFonts w:ascii="Aptos Narrow" w:hAnsi="Aptos Narrow"/>
                <w:color w:val="000000"/>
                <w:sz w:val="18"/>
                <w:szCs w:val="18"/>
              </w:rPr>
              <w:t>HL7</w:t>
            </w:r>
          </w:p>
        </w:tc>
        <w:tc>
          <w:tcPr>
            <w:tcW w:w="1985" w:type="dxa"/>
          </w:tcPr>
          <w:p w14:paraId="6D5E15BA" w14:textId="798DA629"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Health Level Seven</w:t>
            </w:r>
          </w:p>
        </w:tc>
        <w:tc>
          <w:tcPr>
            <w:tcW w:w="5516" w:type="dxa"/>
          </w:tcPr>
          <w:p w14:paraId="4D74765B" w14:textId="4A2C6649"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An international organisation developing standards for the exchange, integration, and retrieval of electronic health information.</w:t>
            </w:r>
          </w:p>
        </w:tc>
      </w:tr>
      <w:tr w:rsidR="005E78A1" w:rsidRPr="00705C2D" w14:paraId="1DD64051"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ADE5789" w14:textId="245CCDDF" w:rsidR="005E78A1" w:rsidRPr="00705C2D" w:rsidRDefault="005E78A1" w:rsidP="005E78A1">
            <w:pPr>
              <w:rPr>
                <w:sz w:val="18"/>
                <w:szCs w:val="18"/>
                <w:highlight w:val="lightGray"/>
              </w:rPr>
            </w:pPr>
            <w:r w:rsidRPr="00705C2D">
              <w:rPr>
                <w:rFonts w:ascii="Aptos Narrow" w:hAnsi="Aptos Narrow"/>
                <w:color w:val="000000"/>
                <w:sz w:val="18"/>
                <w:szCs w:val="18"/>
              </w:rPr>
              <w:t>ICT</w:t>
            </w:r>
          </w:p>
        </w:tc>
        <w:tc>
          <w:tcPr>
            <w:tcW w:w="1985" w:type="dxa"/>
          </w:tcPr>
          <w:p w14:paraId="7ED0E347" w14:textId="1752A534"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Information and Communication Technology</w:t>
            </w:r>
          </w:p>
        </w:tc>
        <w:tc>
          <w:tcPr>
            <w:tcW w:w="5516" w:type="dxa"/>
          </w:tcPr>
          <w:p w14:paraId="2EAC2A0F" w14:textId="5898706A"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Technologies that support digital communication, data management, and information systems in healthcare and other sectors.</w:t>
            </w:r>
          </w:p>
        </w:tc>
      </w:tr>
      <w:tr w:rsidR="005E78A1" w:rsidRPr="00705C2D" w14:paraId="6720BF45"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3F6E261D" w14:textId="6B1D7902" w:rsidR="005E78A1" w:rsidRPr="00705C2D" w:rsidRDefault="005E78A1" w:rsidP="005E78A1">
            <w:pPr>
              <w:rPr>
                <w:sz w:val="18"/>
                <w:szCs w:val="18"/>
                <w:highlight w:val="lightGray"/>
              </w:rPr>
            </w:pPr>
            <w:r w:rsidRPr="00705C2D">
              <w:rPr>
                <w:rFonts w:ascii="Aptos Narrow" w:hAnsi="Aptos Narrow"/>
                <w:color w:val="000000"/>
                <w:sz w:val="18"/>
                <w:szCs w:val="18"/>
              </w:rPr>
              <w:t>ISO/IEC 27001</w:t>
            </w:r>
          </w:p>
        </w:tc>
        <w:tc>
          <w:tcPr>
            <w:tcW w:w="1985" w:type="dxa"/>
          </w:tcPr>
          <w:p w14:paraId="7FB8F355" w14:textId="64B82E25"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Information Security Management Standard</w:t>
            </w:r>
          </w:p>
        </w:tc>
        <w:tc>
          <w:tcPr>
            <w:tcW w:w="5516" w:type="dxa"/>
          </w:tcPr>
          <w:p w14:paraId="755C0B0C" w14:textId="08CF3B5A"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An international standard specifying requirements for establishing and maintaining an information security management system.</w:t>
            </w:r>
          </w:p>
        </w:tc>
      </w:tr>
      <w:tr w:rsidR="005E78A1" w:rsidRPr="00705C2D" w14:paraId="024986B1"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E56BA44" w14:textId="1124B37B" w:rsidR="005E78A1" w:rsidRPr="00705C2D" w:rsidRDefault="005E78A1" w:rsidP="005E78A1">
            <w:pPr>
              <w:rPr>
                <w:sz w:val="18"/>
                <w:szCs w:val="18"/>
                <w:highlight w:val="lightGray"/>
              </w:rPr>
            </w:pPr>
            <w:r w:rsidRPr="00705C2D">
              <w:rPr>
                <w:rFonts w:ascii="Aptos Narrow" w:hAnsi="Aptos Narrow"/>
                <w:color w:val="000000"/>
                <w:sz w:val="18"/>
                <w:szCs w:val="18"/>
              </w:rPr>
              <w:t>PEF</w:t>
            </w:r>
          </w:p>
        </w:tc>
        <w:tc>
          <w:tcPr>
            <w:tcW w:w="1985" w:type="dxa"/>
          </w:tcPr>
          <w:p w14:paraId="1034BABE" w14:textId="4806299C"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Peak Expiratory Flow</w:t>
            </w:r>
          </w:p>
        </w:tc>
        <w:tc>
          <w:tcPr>
            <w:tcW w:w="5516" w:type="dxa"/>
          </w:tcPr>
          <w:p w14:paraId="51ECBE33" w14:textId="2F771ACB"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measure of the maximum speed of expiration, often used to assess airway obstruction.</w:t>
            </w:r>
          </w:p>
        </w:tc>
      </w:tr>
      <w:tr w:rsidR="005E78A1" w:rsidRPr="00705C2D" w14:paraId="6E47BE2C"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59C0F7CF" w14:textId="074B9E6A" w:rsidR="005E78A1" w:rsidRPr="00705C2D" w:rsidRDefault="005E78A1" w:rsidP="005E78A1">
            <w:pPr>
              <w:rPr>
                <w:sz w:val="18"/>
                <w:szCs w:val="18"/>
                <w:highlight w:val="lightGray"/>
              </w:rPr>
            </w:pPr>
            <w:r w:rsidRPr="00705C2D">
              <w:rPr>
                <w:rFonts w:ascii="Aptos Narrow" w:hAnsi="Aptos Narrow"/>
                <w:color w:val="000000"/>
                <w:sz w:val="18"/>
                <w:szCs w:val="18"/>
              </w:rPr>
              <w:t>PROMs</w:t>
            </w:r>
          </w:p>
        </w:tc>
        <w:tc>
          <w:tcPr>
            <w:tcW w:w="1985" w:type="dxa"/>
          </w:tcPr>
          <w:p w14:paraId="5AEFB34A" w14:textId="7B08F29D"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Patient</w:t>
            </w:r>
            <w:r w:rsidRPr="00705C2D">
              <w:rPr>
                <w:rFonts w:ascii="Aptos Narrow" w:hAnsi="Aptos Narrow"/>
                <w:color w:val="000000"/>
                <w:sz w:val="18"/>
                <w:szCs w:val="18"/>
              </w:rPr>
              <w:noBreakHyphen/>
              <w:t>Reported Outcome Measures</w:t>
            </w:r>
          </w:p>
        </w:tc>
        <w:tc>
          <w:tcPr>
            <w:tcW w:w="5516" w:type="dxa"/>
          </w:tcPr>
          <w:p w14:paraId="38BE0EBA" w14:textId="21507463"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Standardised tools used to capture patients’ perspectives on health status, symptoms, or quality of life.</w:t>
            </w:r>
          </w:p>
        </w:tc>
      </w:tr>
      <w:tr w:rsidR="005E78A1" w:rsidRPr="00705C2D" w14:paraId="1286638E"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1579E90" w14:textId="268DBD7A" w:rsidR="005E78A1" w:rsidRPr="00705C2D" w:rsidRDefault="005E78A1" w:rsidP="005E78A1">
            <w:pPr>
              <w:rPr>
                <w:sz w:val="18"/>
                <w:szCs w:val="18"/>
                <w:highlight w:val="lightGray"/>
              </w:rPr>
            </w:pPr>
            <w:r w:rsidRPr="00705C2D">
              <w:rPr>
                <w:rFonts w:ascii="Aptos Narrow" w:hAnsi="Aptos Narrow"/>
                <w:color w:val="000000"/>
                <w:sz w:val="18"/>
                <w:szCs w:val="18"/>
              </w:rPr>
              <w:t>RPM</w:t>
            </w:r>
          </w:p>
        </w:tc>
        <w:tc>
          <w:tcPr>
            <w:tcW w:w="1985" w:type="dxa"/>
          </w:tcPr>
          <w:p w14:paraId="296AC877" w14:textId="26AABE0C"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Remote Patient Monitoring</w:t>
            </w:r>
          </w:p>
        </w:tc>
        <w:tc>
          <w:tcPr>
            <w:tcW w:w="5516" w:type="dxa"/>
          </w:tcPr>
          <w:p w14:paraId="00994205" w14:textId="7F49AC32"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The use of digital technologies to collect and transmit patient health data from outside traditional clinical settings.</w:t>
            </w:r>
          </w:p>
        </w:tc>
      </w:tr>
      <w:tr w:rsidR="005E78A1" w:rsidRPr="00705C2D" w14:paraId="6E79461C"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48A5F8BB" w14:textId="485FF233" w:rsidR="005E78A1" w:rsidRPr="00705C2D" w:rsidRDefault="005E78A1" w:rsidP="005E78A1">
            <w:pPr>
              <w:rPr>
                <w:sz w:val="18"/>
                <w:szCs w:val="18"/>
                <w:highlight w:val="lightGray"/>
              </w:rPr>
            </w:pPr>
            <w:r w:rsidRPr="00705C2D">
              <w:rPr>
                <w:rFonts w:ascii="Aptos Narrow" w:hAnsi="Aptos Narrow"/>
                <w:color w:val="000000"/>
                <w:sz w:val="18"/>
                <w:szCs w:val="18"/>
              </w:rPr>
              <w:t>SD</w:t>
            </w:r>
            <w:r w:rsidRPr="00705C2D">
              <w:rPr>
                <w:rFonts w:ascii="Aptos Narrow" w:hAnsi="Aptos Narrow"/>
                <w:color w:val="000000"/>
                <w:sz w:val="18"/>
                <w:szCs w:val="18"/>
              </w:rPr>
              <w:noBreakHyphen/>
              <w:t>WAN</w:t>
            </w:r>
          </w:p>
        </w:tc>
        <w:tc>
          <w:tcPr>
            <w:tcW w:w="1985" w:type="dxa"/>
          </w:tcPr>
          <w:p w14:paraId="2244017A" w14:textId="23DB6812"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Software</w:t>
            </w:r>
            <w:r w:rsidRPr="00705C2D">
              <w:rPr>
                <w:rFonts w:ascii="Aptos Narrow" w:hAnsi="Aptos Narrow"/>
                <w:color w:val="000000"/>
                <w:sz w:val="18"/>
                <w:szCs w:val="18"/>
              </w:rPr>
              <w:noBreakHyphen/>
              <w:t>Defined Wide Area Network</w:t>
            </w:r>
          </w:p>
        </w:tc>
        <w:tc>
          <w:tcPr>
            <w:tcW w:w="5516" w:type="dxa"/>
          </w:tcPr>
          <w:p w14:paraId="25F977E5" w14:textId="33343057"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networking technology that improves reliability and performance by dynamically routing traffic across multiple connections.</w:t>
            </w:r>
          </w:p>
        </w:tc>
      </w:tr>
      <w:tr w:rsidR="005E78A1" w:rsidRPr="00705C2D" w14:paraId="26D77030"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D8389AC" w14:textId="742F3D1D" w:rsidR="005E78A1" w:rsidRPr="00705C2D" w:rsidRDefault="005E78A1" w:rsidP="005E78A1">
            <w:pPr>
              <w:rPr>
                <w:sz w:val="18"/>
                <w:szCs w:val="18"/>
                <w:highlight w:val="lightGray"/>
              </w:rPr>
            </w:pPr>
            <w:r w:rsidRPr="00705C2D">
              <w:rPr>
                <w:rFonts w:ascii="Aptos Narrow" w:hAnsi="Aptos Narrow"/>
                <w:color w:val="000000"/>
                <w:sz w:val="18"/>
                <w:szCs w:val="18"/>
              </w:rPr>
              <w:t>SNOMED CT</w:t>
            </w:r>
          </w:p>
        </w:tc>
        <w:tc>
          <w:tcPr>
            <w:tcW w:w="1985" w:type="dxa"/>
          </w:tcPr>
          <w:p w14:paraId="7A455BBB" w14:textId="534874A0"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Systematized Nomenclature of Medicine – Clinical Terms</w:t>
            </w:r>
          </w:p>
        </w:tc>
        <w:tc>
          <w:tcPr>
            <w:tcW w:w="5516" w:type="dxa"/>
          </w:tcPr>
          <w:p w14:paraId="51DD0361" w14:textId="1DAEF7F7"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comprehensive, standardised clinical terminology used to encode healthcare data consistently.</w:t>
            </w:r>
          </w:p>
        </w:tc>
      </w:tr>
      <w:tr w:rsidR="005E78A1" w:rsidRPr="00705C2D" w14:paraId="49EDF851"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31F7B402" w14:textId="5C6B9067" w:rsidR="005E78A1" w:rsidRPr="00705C2D" w:rsidRDefault="005E78A1" w:rsidP="005E78A1">
            <w:pPr>
              <w:rPr>
                <w:sz w:val="18"/>
                <w:szCs w:val="18"/>
                <w:highlight w:val="lightGray"/>
              </w:rPr>
            </w:pPr>
            <w:r w:rsidRPr="00705C2D">
              <w:rPr>
                <w:rFonts w:ascii="Aptos Narrow" w:hAnsi="Aptos Narrow"/>
                <w:color w:val="000000"/>
                <w:sz w:val="18"/>
                <w:szCs w:val="18"/>
              </w:rPr>
              <w:t>SOP</w:t>
            </w:r>
          </w:p>
        </w:tc>
        <w:tc>
          <w:tcPr>
            <w:tcW w:w="1985" w:type="dxa"/>
          </w:tcPr>
          <w:p w14:paraId="06C19103" w14:textId="258F98CF"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Standard Operating Procedure</w:t>
            </w:r>
          </w:p>
        </w:tc>
        <w:tc>
          <w:tcPr>
            <w:tcW w:w="5516" w:type="dxa"/>
          </w:tcPr>
          <w:p w14:paraId="4AE4E33A" w14:textId="10E60B6D"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set of step</w:t>
            </w:r>
            <w:r w:rsidRPr="00705C2D">
              <w:rPr>
                <w:rFonts w:ascii="Aptos Narrow" w:hAnsi="Aptos Narrow"/>
                <w:color w:val="000000"/>
                <w:sz w:val="18"/>
                <w:szCs w:val="18"/>
              </w:rPr>
              <w:noBreakHyphen/>
              <w:t>by</w:t>
            </w:r>
            <w:r w:rsidRPr="00705C2D">
              <w:rPr>
                <w:rFonts w:ascii="Aptos Narrow" w:hAnsi="Aptos Narrow"/>
                <w:color w:val="000000"/>
                <w:sz w:val="18"/>
                <w:szCs w:val="18"/>
              </w:rPr>
              <w:noBreakHyphen/>
              <w:t>step instructions designed to standardise processes and ensure safe, consistent practice.</w:t>
            </w:r>
          </w:p>
        </w:tc>
      </w:tr>
      <w:tr w:rsidR="005E78A1" w:rsidRPr="00705C2D" w14:paraId="779CEDB0"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95C29DF" w14:textId="64512059" w:rsidR="005E78A1" w:rsidRPr="00705C2D" w:rsidRDefault="005E78A1" w:rsidP="005E78A1">
            <w:pPr>
              <w:rPr>
                <w:sz w:val="18"/>
                <w:szCs w:val="18"/>
                <w:highlight w:val="lightGray"/>
              </w:rPr>
            </w:pPr>
            <w:r w:rsidRPr="00705C2D">
              <w:rPr>
                <w:rFonts w:ascii="Aptos Narrow" w:hAnsi="Aptos Narrow"/>
                <w:color w:val="000000"/>
                <w:sz w:val="18"/>
                <w:szCs w:val="18"/>
              </w:rPr>
              <w:t>SVI</w:t>
            </w:r>
          </w:p>
        </w:tc>
        <w:tc>
          <w:tcPr>
            <w:tcW w:w="1985" w:type="dxa"/>
          </w:tcPr>
          <w:p w14:paraId="6FBF1FCF" w14:textId="1752E8AD"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Social Vulnerability Index</w:t>
            </w:r>
          </w:p>
        </w:tc>
        <w:tc>
          <w:tcPr>
            <w:tcW w:w="5516" w:type="dxa"/>
          </w:tcPr>
          <w:p w14:paraId="12343333" w14:textId="62B4EF5D"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measure used to identify communities that may need additional support during adverse health or environmental events.</w:t>
            </w:r>
          </w:p>
        </w:tc>
      </w:tr>
      <w:tr w:rsidR="005E78A1" w:rsidRPr="00705C2D" w14:paraId="4D717D9E"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5A5761B0" w14:textId="524FBDAB" w:rsidR="005E78A1" w:rsidRPr="00705C2D" w:rsidRDefault="005E78A1" w:rsidP="005E78A1">
            <w:pPr>
              <w:rPr>
                <w:sz w:val="18"/>
                <w:szCs w:val="18"/>
                <w:highlight w:val="lightGray"/>
              </w:rPr>
            </w:pPr>
            <w:r w:rsidRPr="00705C2D">
              <w:rPr>
                <w:rFonts w:ascii="Aptos Narrow" w:hAnsi="Aptos Narrow"/>
                <w:color w:val="000000"/>
                <w:sz w:val="18"/>
                <w:szCs w:val="18"/>
              </w:rPr>
              <w:t>THCF</w:t>
            </w:r>
          </w:p>
        </w:tc>
        <w:tc>
          <w:tcPr>
            <w:tcW w:w="1985" w:type="dxa"/>
          </w:tcPr>
          <w:p w14:paraId="654B7460" w14:textId="582C1EC3"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Telehealth Cystic Fibrosis Working Group</w:t>
            </w:r>
          </w:p>
        </w:tc>
        <w:tc>
          <w:tcPr>
            <w:tcW w:w="5516" w:type="dxa"/>
          </w:tcPr>
          <w:p w14:paraId="1ABC861B" w14:textId="2FA51048"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The ECFS working group focused on telehealth development and implementation in CF care.</w:t>
            </w:r>
          </w:p>
        </w:tc>
      </w:tr>
      <w:tr w:rsidR="005E78A1" w:rsidRPr="00705C2D" w14:paraId="477E4CBD"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5ECFF00" w14:textId="6A6E7425" w:rsidR="005E78A1" w:rsidRPr="00705C2D" w:rsidRDefault="005E78A1" w:rsidP="005E78A1">
            <w:pPr>
              <w:rPr>
                <w:sz w:val="18"/>
                <w:szCs w:val="18"/>
                <w:highlight w:val="lightGray"/>
              </w:rPr>
            </w:pPr>
            <w:r w:rsidRPr="00705C2D">
              <w:rPr>
                <w:rFonts w:ascii="Aptos Narrow" w:hAnsi="Aptos Narrow"/>
                <w:color w:val="000000"/>
                <w:sz w:val="18"/>
                <w:szCs w:val="18"/>
              </w:rPr>
              <w:t>TLS</w:t>
            </w:r>
          </w:p>
        </w:tc>
        <w:tc>
          <w:tcPr>
            <w:tcW w:w="1985" w:type="dxa"/>
          </w:tcPr>
          <w:p w14:paraId="3FFF6C5B" w14:textId="2A6A8F0D"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Transport Layer Security</w:t>
            </w:r>
          </w:p>
        </w:tc>
        <w:tc>
          <w:tcPr>
            <w:tcW w:w="5516" w:type="dxa"/>
          </w:tcPr>
          <w:p w14:paraId="44ECB23B" w14:textId="54FEB6DE"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cryptographic protocol ensuring secure, encrypted data transmission over networks.</w:t>
            </w:r>
          </w:p>
        </w:tc>
      </w:tr>
      <w:tr w:rsidR="005E78A1" w:rsidRPr="00705C2D" w14:paraId="6B12C742"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5352B731" w14:textId="4ABA57FC" w:rsidR="005E78A1" w:rsidRPr="00705C2D" w:rsidRDefault="005E78A1" w:rsidP="005E78A1">
            <w:pPr>
              <w:rPr>
                <w:sz w:val="18"/>
                <w:szCs w:val="18"/>
                <w:highlight w:val="lightGray"/>
              </w:rPr>
            </w:pPr>
            <w:r w:rsidRPr="00705C2D">
              <w:rPr>
                <w:rFonts w:ascii="Aptos Narrow" w:hAnsi="Aptos Narrow"/>
                <w:color w:val="000000"/>
                <w:sz w:val="18"/>
                <w:szCs w:val="18"/>
              </w:rPr>
              <w:lastRenderedPageBreak/>
              <w:t>VPN</w:t>
            </w:r>
          </w:p>
        </w:tc>
        <w:tc>
          <w:tcPr>
            <w:tcW w:w="1985" w:type="dxa"/>
          </w:tcPr>
          <w:p w14:paraId="274AA60C" w14:textId="69CE499E"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Virtual Private Network</w:t>
            </w:r>
          </w:p>
        </w:tc>
        <w:tc>
          <w:tcPr>
            <w:tcW w:w="5516" w:type="dxa"/>
          </w:tcPr>
          <w:p w14:paraId="75D0ECA1" w14:textId="29EB21E5"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secure network connection that encrypts data transmitted between devices and systems.</w:t>
            </w:r>
          </w:p>
        </w:tc>
      </w:tr>
      <w:tr w:rsidR="005E78A1" w:rsidRPr="00705C2D" w14:paraId="3207D0C3" w14:textId="77777777" w:rsidTr="005E7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A732909" w14:textId="3C800C75" w:rsidR="005E78A1" w:rsidRPr="00705C2D" w:rsidRDefault="005E78A1" w:rsidP="005E78A1">
            <w:pPr>
              <w:rPr>
                <w:sz w:val="18"/>
                <w:szCs w:val="18"/>
                <w:highlight w:val="lightGray"/>
              </w:rPr>
            </w:pPr>
            <w:r w:rsidRPr="00705C2D">
              <w:rPr>
                <w:rFonts w:ascii="Aptos Narrow" w:hAnsi="Aptos Narrow"/>
                <w:color w:val="000000"/>
                <w:sz w:val="18"/>
                <w:szCs w:val="18"/>
              </w:rPr>
              <w:t>WCAG</w:t>
            </w:r>
          </w:p>
        </w:tc>
        <w:tc>
          <w:tcPr>
            <w:tcW w:w="1985" w:type="dxa"/>
          </w:tcPr>
          <w:p w14:paraId="3EFA1410" w14:textId="176ABC2C"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Web Content Accessibility Guidelines</w:t>
            </w:r>
          </w:p>
        </w:tc>
        <w:tc>
          <w:tcPr>
            <w:tcW w:w="5516" w:type="dxa"/>
          </w:tcPr>
          <w:p w14:paraId="1AE082D4" w14:textId="74C1AB63" w:rsidR="005E78A1" w:rsidRPr="00705C2D" w:rsidRDefault="005E78A1" w:rsidP="005E78A1">
            <w:pPr>
              <w:cnfStyle w:val="000000100000" w:firstRow="0" w:lastRow="0" w:firstColumn="0" w:lastColumn="0" w:oddVBand="0" w:evenVBand="0" w:oddHBand="1"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International guidelines that define standards for accessible digital content, including for users with disabilities.</w:t>
            </w:r>
          </w:p>
        </w:tc>
      </w:tr>
      <w:tr w:rsidR="005E78A1" w:rsidRPr="00705C2D" w14:paraId="66047A95" w14:textId="77777777" w:rsidTr="005E78A1">
        <w:tc>
          <w:tcPr>
            <w:cnfStyle w:val="001000000000" w:firstRow="0" w:lastRow="0" w:firstColumn="1" w:lastColumn="0" w:oddVBand="0" w:evenVBand="0" w:oddHBand="0" w:evenHBand="0" w:firstRowFirstColumn="0" w:firstRowLastColumn="0" w:lastRowFirstColumn="0" w:lastRowLastColumn="0"/>
            <w:tcW w:w="1129" w:type="dxa"/>
          </w:tcPr>
          <w:p w14:paraId="70E0A932" w14:textId="44D8F923" w:rsidR="005E78A1" w:rsidRPr="00705C2D" w:rsidRDefault="005E78A1" w:rsidP="005E78A1">
            <w:pPr>
              <w:rPr>
                <w:sz w:val="18"/>
                <w:szCs w:val="18"/>
                <w:highlight w:val="lightGray"/>
              </w:rPr>
            </w:pPr>
            <w:r w:rsidRPr="00705C2D">
              <w:rPr>
                <w:rFonts w:ascii="Aptos Narrow" w:hAnsi="Aptos Narrow"/>
                <w:color w:val="000000"/>
                <w:sz w:val="18"/>
                <w:szCs w:val="18"/>
              </w:rPr>
              <w:t>WP4</w:t>
            </w:r>
          </w:p>
        </w:tc>
        <w:tc>
          <w:tcPr>
            <w:tcW w:w="1985" w:type="dxa"/>
          </w:tcPr>
          <w:p w14:paraId="75C7D3A1" w14:textId="52DA9D70"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Work Package 4</w:t>
            </w:r>
          </w:p>
        </w:tc>
        <w:tc>
          <w:tcPr>
            <w:tcW w:w="5516" w:type="dxa"/>
          </w:tcPr>
          <w:p w14:paraId="0E0EBA0F" w14:textId="27D6B6D8" w:rsidR="005E78A1" w:rsidRPr="00705C2D" w:rsidRDefault="005E78A1" w:rsidP="005E78A1">
            <w:pPr>
              <w:cnfStyle w:val="000000000000" w:firstRow="0" w:lastRow="0" w:firstColumn="0" w:lastColumn="0" w:oddVBand="0" w:evenVBand="0" w:oddHBand="0" w:evenHBand="0" w:firstRowFirstColumn="0" w:firstRowLastColumn="0" w:lastRowFirstColumn="0" w:lastRowLastColumn="0"/>
              <w:rPr>
                <w:sz w:val="18"/>
                <w:szCs w:val="18"/>
                <w:highlight w:val="lightGray"/>
              </w:rPr>
            </w:pPr>
            <w:r w:rsidRPr="00705C2D">
              <w:rPr>
                <w:rFonts w:ascii="Aptos Narrow" w:hAnsi="Aptos Narrow"/>
                <w:color w:val="000000"/>
                <w:sz w:val="18"/>
                <w:szCs w:val="18"/>
              </w:rPr>
              <w:t>A specific work stream within the ECFS Telehealth Working Group focused on technical aspects of telehealth.</w:t>
            </w:r>
          </w:p>
        </w:tc>
      </w:tr>
    </w:tbl>
    <w:p w14:paraId="19899591" w14:textId="77777777" w:rsidR="00B07C02" w:rsidRPr="00705C2D" w:rsidRDefault="00B07C02">
      <w:pPr>
        <w:rPr>
          <w:highlight w:val="lightGray"/>
        </w:rPr>
      </w:pPr>
    </w:p>
    <w:p w14:paraId="35464065" w14:textId="75ECD3E3" w:rsidR="00560493" w:rsidRPr="00705C2D" w:rsidRDefault="00560493">
      <w:pPr>
        <w:rPr>
          <w:rFonts w:asciiTheme="majorHAnsi" w:eastAsiaTheme="majorEastAsia" w:hAnsiTheme="majorHAnsi" w:cstheme="majorBidi"/>
          <w:b/>
          <w:bCs/>
          <w:color w:val="365F91" w:themeColor="accent1" w:themeShade="BF"/>
          <w:sz w:val="28"/>
          <w:szCs w:val="28"/>
          <w:highlight w:val="lightGray"/>
        </w:rPr>
      </w:pPr>
      <w:r w:rsidRPr="00705C2D">
        <w:rPr>
          <w:highlight w:val="lightGray"/>
        </w:rPr>
        <w:br w:type="page"/>
      </w:r>
    </w:p>
    <w:p w14:paraId="5B1B8DD2" w14:textId="3B39D8FD" w:rsidR="00063DA1" w:rsidRPr="00705C2D" w:rsidRDefault="00DC1E8B" w:rsidP="00560493">
      <w:pPr>
        <w:pStyle w:val="Heading1"/>
        <w:tabs>
          <w:tab w:val="num" w:pos="360"/>
        </w:tabs>
      </w:pPr>
      <w:bookmarkStart w:id="1" w:name="_Toc228182390"/>
      <w:r w:rsidRPr="00705C2D">
        <w:lastRenderedPageBreak/>
        <w:t>Introduction.</w:t>
      </w:r>
      <w:bookmarkEnd w:id="1"/>
    </w:p>
    <w:p w14:paraId="43A808FA" w14:textId="2F64614C" w:rsidR="00063DA1" w:rsidRPr="00705C2D" w:rsidRDefault="00063DA1" w:rsidP="00063DA1">
      <w:pPr>
        <w:pStyle w:val="Heading2"/>
      </w:pPr>
      <w:bookmarkStart w:id="2" w:name="_Toc228182391"/>
      <w:r w:rsidRPr="00705C2D">
        <w:t>Purpose of This Document</w:t>
      </w:r>
      <w:bookmarkEnd w:id="2"/>
    </w:p>
    <w:p w14:paraId="206D428D" w14:textId="4A47CD85" w:rsidR="00063DA1" w:rsidRPr="00705C2D" w:rsidRDefault="00063DA1" w:rsidP="00063DA1">
      <w:r w:rsidRPr="00705C2D">
        <w:t>Telehealth has become an integral component of modern healthcare delivery, offering new opportunities to improve access, continuity of care, and patient quality of life. However, telehealth is inherently multidisciplinary and relies on technology, connectivity, data systems, and governance structures that may appear complex or unfamiliar</w:t>
      </w:r>
      <w:r w:rsidR="009A221D">
        <w:t xml:space="preserve">, </w:t>
      </w:r>
      <w:r w:rsidRPr="00705C2D">
        <w:t xml:space="preserve">particularly to care teams without dedicated </w:t>
      </w:r>
      <w:r w:rsidR="009A221D">
        <w:t>I</w:t>
      </w:r>
      <w:r w:rsidRPr="00705C2D">
        <w:t xml:space="preserve">nformation and </w:t>
      </w:r>
      <w:r w:rsidR="009A221D">
        <w:t>C</w:t>
      </w:r>
      <w:r w:rsidRPr="00705C2D">
        <w:t xml:space="preserve">ommunication </w:t>
      </w:r>
      <w:r w:rsidR="009A221D">
        <w:t>T</w:t>
      </w:r>
      <w:r w:rsidRPr="00705C2D">
        <w:t>echnology (ICT) support.</w:t>
      </w:r>
    </w:p>
    <w:p w14:paraId="1A9EEBFF" w14:textId="4C1777E6" w:rsidR="00063DA1" w:rsidRPr="00705C2D" w:rsidRDefault="00063DA1" w:rsidP="00063DA1">
      <w:r w:rsidRPr="00705C2D">
        <w:t>This document has been developed as a practical, structured technical guide for healthcare professionals involved in</w:t>
      </w:r>
      <w:r w:rsidR="009A221D">
        <w:t xml:space="preserve"> </w:t>
      </w:r>
      <w:r w:rsidR="00D064F5">
        <w:t>Cystic Fibrosis (</w:t>
      </w:r>
      <w:r w:rsidR="009A221D">
        <w:t>CF</w:t>
      </w:r>
      <w:r w:rsidR="00D064F5">
        <w:t>)</w:t>
      </w:r>
      <w:r w:rsidRPr="00705C2D">
        <w:t xml:space="preserve"> telehealth services. Its purpose is not to turn clinicians into ICT specialists, but to demystify the technical aspects of telehealth, build confidence, and support informed decision‑making. By presenting key technical considerations in a clear, consistent, and clinically framed manner, the document aims to support the safe, effective, and sustainable use of telehealth across a wide range of clinical settings.</w:t>
      </w:r>
    </w:p>
    <w:p w14:paraId="5DD06822" w14:textId="4B478DD8" w:rsidR="00063DA1" w:rsidRPr="00705C2D" w:rsidRDefault="00063DA1" w:rsidP="00063DA1">
      <w:pPr>
        <w:pStyle w:val="Heading2"/>
      </w:pPr>
      <w:bookmarkStart w:id="3" w:name="_Toc228182392"/>
      <w:r w:rsidRPr="00705C2D">
        <w:t>Intended Audience</w:t>
      </w:r>
      <w:bookmarkEnd w:id="3"/>
    </w:p>
    <w:p w14:paraId="1F37B9AB" w14:textId="77777777" w:rsidR="00063DA1" w:rsidRPr="00705C2D" w:rsidRDefault="00063DA1" w:rsidP="00063DA1">
      <w:r w:rsidRPr="00705C2D">
        <w:t>This guide is intended for:</w:t>
      </w:r>
    </w:p>
    <w:p w14:paraId="25156EDB" w14:textId="72DED1EF" w:rsidR="001264F3" w:rsidRPr="00705C2D" w:rsidRDefault="00583FF9" w:rsidP="001264F3">
      <w:pPr>
        <w:pStyle w:val="ListParagraph"/>
        <w:numPr>
          <w:ilvl w:val="0"/>
          <w:numId w:val="12"/>
        </w:numPr>
      </w:pPr>
      <w:r>
        <w:t xml:space="preserve">CF </w:t>
      </w:r>
      <w:r w:rsidR="00063DA1" w:rsidRPr="00705C2D">
        <w:t>Multidisciplinary healthcare teams delivering or planning telehealth services</w:t>
      </w:r>
    </w:p>
    <w:p w14:paraId="72C7E5FD" w14:textId="499D6C83" w:rsidR="001264F3" w:rsidRPr="00705C2D" w:rsidRDefault="00583FF9" w:rsidP="001264F3">
      <w:pPr>
        <w:pStyle w:val="ListParagraph"/>
        <w:numPr>
          <w:ilvl w:val="0"/>
          <w:numId w:val="12"/>
        </w:numPr>
      </w:pPr>
      <w:r>
        <w:t xml:space="preserve">CF </w:t>
      </w:r>
      <w:r w:rsidR="00063DA1" w:rsidRPr="00705C2D">
        <w:t>Clinical leaders and programme coordinators responsible for telehealth implementation</w:t>
      </w:r>
    </w:p>
    <w:p w14:paraId="21BE6750" w14:textId="6F61A3E6" w:rsidR="001264F3" w:rsidRPr="00705C2D" w:rsidRDefault="00583FF9" w:rsidP="001264F3">
      <w:pPr>
        <w:pStyle w:val="ListParagraph"/>
        <w:numPr>
          <w:ilvl w:val="0"/>
          <w:numId w:val="12"/>
        </w:numPr>
      </w:pPr>
      <w:r>
        <w:t xml:space="preserve">CF </w:t>
      </w:r>
      <w:r w:rsidR="00063DA1" w:rsidRPr="00705C2D">
        <w:t>Professionals working in settings with limited or no dedicated ICT departments</w:t>
      </w:r>
    </w:p>
    <w:p w14:paraId="34317C06" w14:textId="6DBF6A59" w:rsidR="00063DA1" w:rsidRPr="00705C2D" w:rsidRDefault="00583FF9" w:rsidP="001264F3">
      <w:pPr>
        <w:pStyle w:val="ListParagraph"/>
        <w:numPr>
          <w:ilvl w:val="0"/>
          <w:numId w:val="12"/>
        </w:numPr>
      </w:pPr>
      <w:r>
        <w:t xml:space="preserve">CF </w:t>
      </w:r>
      <w:r w:rsidR="00063DA1" w:rsidRPr="00705C2D">
        <w:t>Teams seeking to establish a shared understanding and common language around telehealth technology, expectations, and constraints</w:t>
      </w:r>
    </w:p>
    <w:p w14:paraId="14AEECA9" w14:textId="4360410D" w:rsidR="00063DA1" w:rsidRPr="00705C2D" w:rsidRDefault="00063DA1" w:rsidP="001264F3">
      <w:pPr>
        <w:pStyle w:val="Heading2"/>
      </w:pPr>
      <w:bookmarkStart w:id="4" w:name="_Toc228182393"/>
      <w:r w:rsidRPr="00705C2D">
        <w:t>How to Use This Document</w:t>
      </w:r>
      <w:bookmarkEnd w:id="4"/>
    </w:p>
    <w:p w14:paraId="15B9BF47" w14:textId="77777777" w:rsidR="00063DA1" w:rsidRPr="00705C2D" w:rsidRDefault="00063DA1" w:rsidP="00063DA1">
      <w:r w:rsidRPr="00705C2D">
        <w:t>The document is organised into thematic sections covering:</w:t>
      </w:r>
    </w:p>
    <w:p w14:paraId="1DC636A5" w14:textId="77777777" w:rsidR="00063DA1" w:rsidRPr="00705C2D" w:rsidRDefault="00063DA1" w:rsidP="00AA686A">
      <w:pPr>
        <w:pStyle w:val="ListParagraph"/>
        <w:numPr>
          <w:ilvl w:val="0"/>
          <w:numId w:val="13"/>
        </w:numPr>
      </w:pPr>
      <w:r w:rsidRPr="00705C2D">
        <w:t>Digital transformation principles and operational foundations</w:t>
      </w:r>
    </w:p>
    <w:p w14:paraId="582B1ACC" w14:textId="77777777" w:rsidR="00063DA1" w:rsidRPr="00705C2D" w:rsidRDefault="00063DA1" w:rsidP="00AA686A">
      <w:pPr>
        <w:pStyle w:val="ListParagraph"/>
        <w:numPr>
          <w:ilvl w:val="0"/>
          <w:numId w:val="13"/>
        </w:numPr>
      </w:pPr>
      <w:r w:rsidRPr="00705C2D">
        <w:t>Connectivity, security, devices, and data</w:t>
      </w:r>
    </w:p>
    <w:p w14:paraId="08AFD6FC" w14:textId="77777777" w:rsidR="00063DA1" w:rsidRPr="00705C2D" w:rsidRDefault="00063DA1" w:rsidP="00AA686A">
      <w:pPr>
        <w:pStyle w:val="ListParagraph"/>
        <w:numPr>
          <w:ilvl w:val="0"/>
          <w:numId w:val="13"/>
        </w:numPr>
      </w:pPr>
      <w:r w:rsidRPr="00705C2D">
        <w:t>Interoperability and information flow</w:t>
      </w:r>
    </w:p>
    <w:p w14:paraId="5CD730FA" w14:textId="77777777" w:rsidR="00063DA1" w:rsidRPr="00705C2D" w:rsidRDefault="00063DA1" w:rsidP="00AA686A">
      <w:pPr>
        <w:pStyle w:val="ListParagraph"/>
        <w:numPr>
          <w:ilvl w:val="0"/>
          <w:numId w:val="13"/>
        </w:numPr>
      </w:pPr>
      <w:r w:rsidRPr="00705C2D">
        <w:t>User needs, accessibility, and the digital divide</w:t>
      </w:r>
    </w:p>
    <w:p w14:paraId="467EBFD6" w14:textId="77777777" w:rsidR="00063DA1" w:rsidRPr="00705C2D" w:rsidRDefault="00063DA1" w:rsidP="00AA686A">
      <w:pPr>
        <w:pStyle w:val="ListParagraph"/>
        <w:numPr>
          <w:ilvl w:val="0"/>
          <w:numId w:val="13"/>
        </w:numPr>
      </w:pPr>
      <w:r w:rsidRPr="00705C2D">
        <w:t>Legal, organisational, and national regulatory considerations</w:t>
      </w:r>
    </w:p>
    <w:p w14:paraId="11A709C5" w14:textId="77777777" w:rsidR="00063DA1" w:rsidRPr="00705C2D" w:rsidRDefault="00063DA1" w:rsidP="00063DA1">
      <w:r w:rsidRPr="00705C2D">
        <w:t>Each section includes a proficiency table that categorises recommendations into three levels. These levels are not hierarchical mandates, but pragmatic guidance designed to help teams prioritise actions according to local context, resources, and maturity of service.</w:t>
      </w:r>
    </w:p>
    <w:p w14:paraId="502E94AB" w14:textId="77777777" w:rsidR="00063DA1" w:rsidRPr="00705C2D" w:rsidRDefault="00063DA1" w:rsidP="00063DA1">
      <w:r w:rsidRPr="00705C2D">
        <w:t>This document is intended to be used in conjunction with broader telehealth planning tools and clinical service maps, supporting structured discussions within teams and with organisational stakeholders.</w:t>
      </w:r>
    </w:p>
    <w:p w14:paraId="260A569D" w14:textId="6BA435D9" w:rsidR="00063DA1" w:rsidRPr="00705C2D" w:rsidRDefault="00063DA1" w:rsidP="00AA686A">
      <w:pPr>
        <w:pStyle w:val="Heading2"/>
      </w:pPr>
      <w:bookmarkStart w:id="5" w:name="_Toc228182394"/>
      <w:r w:rsidRPr="00705C2D">
        <w:lastRenderedPageBreak/>
        <w:t>Proficiency Levels Explained</w:t>
      </w:r>
      <w:bookmarkEnd w:id="5"/>
    </w:p>
    <w:p w14:paraId="75A98D7D" w14:textId="77777777" w:rsidR="00063DA1" w:rsidRPr="00705C2D" w:rsidRDefault="00063DA1" w:rsidP="00063DA1">
      <w:r w:rsidRPr="00705C2D">
        <w:t>Each topic in this document is accompanied by a proficiency table using the following categories:</w:t>
      </w:r>
    </w:p>
    <w:p w14:paraId="04A5E70E" w14:textId="1286644A" w:rsidR="00063DA1" w:rsidRPr="00705C2D" w:rsidRDefault="00063DA1" w:rsidP="00AA686A">
      <w:pPr>
        <w:pStyle w:val="Heading3"/>
      </w:pPr>
      <w:bookmarkStart w:id="6" w:name="_Toc228182395"/>
      <w:r w:rsidRPr="00705C2D">
        <w:t>Highly Recommended</w:t>
      </w:r>
      <w:bookmarkEnd w:id="6"/>
    </w:p>
    <w:p w14:paraId="6B9DB443" w14:textId="77777777" w:rsidR="00063DA1" w:rsidRPr="00705C2D" w:rsidRDefault="00063DA1" w:rsidP="00063DA1">
      <w:r w:rsidRPr="00705C2D">
        <w:t>These elements represent core requirements for delivering a safe, clinically sound, and trustworthy telehealth service. They are considered foundational and should be implemented wherever telehealth is offered, regardless of scale or setting. Omitting these elements may introduce clinical, operational, or legal risk.</w:t>
      </w:r>
    </w:p>
    <w:p w14:paraId="1C1966AD" w14:textId="0CA605F4" w:rsidR="00063DA1" w:rsidRPr="00705C2D" w:rsidRDefault="00063DA1" w:rsidP="00AA686A">
      <w:pPr>
        <w:pStyle w:val="Heading3"/>
      </w:pPr>
      <w:bookmarkStart w:id="7" w:name="_Toc228182396"/>
      <w:r w:rsidRPr="00705C2D">
        <w:t>Recommended</w:t>
      </w:r>
      <w:bookmarkEnd w:id="7"/>
    </w:p>
    <w:p w14:paraId="1584C9E6" w14:textId="77777777" w:rsidR="00063DA1" w:rsidRPr="00705C2D" w:rsidRDefault="00063DA1" w:rsidP="00063DA1">
      <w:r w:rsidRPr="00705C2D">
        <w:t>These elements reflect good practice enhancements that significantly improve reliability, efficiency, user experience, or governance. While not always strictly essential, they are strongly encouraged and should be prioritised where resources and organisational structures allow.</w:t>
      </w:r>
    </w:p>
    <w:p w14:paraId="2242483C" w14:textId="753B23A0" w:rsidR="00063DA1" w:rsidRPr="00705C2D" w:rsidRDefault="00063DA1" w:rsidP="00AA686A">
      <w:pPr>
        <w:pStyle w:val="Heading3"/>
      </w:pPr>
      <w:bookmarkStart w:id="8" w:name="_Toc228182397"/>
      <w:r w:rsidRPr="00705C2D">
        <w:t>Optional</w:t>
      </w:r>
      <w:bookmarkEnd w:id="8"/>
    </w:p>
    <w:p w14:paraId="63D9EACE" w14:textId="77777777" w:rsidR="00063DA1" w:rsidRPr="00705C2D" w:rsidRDefault="00063DA1" w:rsidP="00063DA1">
      <w:r w:rsidRPr="00705C2D">
        <w:t>These elements include context‑dependent or advanced options. They may be particularly valuable in specific scenarios (e.g. remote populations, high‑volume services, research‑active centres) or as services mature over time. Their inclusion should be guided by local needs, feasibility, and strategic goals.</w:t>
      </w:r>
    </w:p>
    <w:p w14:paraId="3A11C5D7" w14:textId="77777777" w:rsidR="00063DA1" w:rsidRPr="00705C2D" w:rsidRDefault="00063DA1" w:rsidP="00063DA1">
      <w:r w:rsidRPr="00705C2D">
        <w:t>Importantly, the absence of optional elements does not imply substandard care. Telehealth services can be safe and effective without them, provided the highly recommended foundations are in place.</w:t>
      </w:r>
    </w:p>
    <w:p w14:paraId="56DF9D40" w14:textId="0E61D5A6" w:rsidR="00063DA1" w:rsidRPr="00705C2D" w:rsidRDefault="00063DA1" w:rsidP="00AA686A">
      <w:pPr>
        <w:pStyle w:val="Heading2"/>
      </w:pPr>
      <w:bookmarkStart w:id="9" w:name="_Toc228182398"/>
      <w:r w:rsidRPr="00705C2D">
        <w:t>Development and Authorship</w:t>
      </w:r>
      <w:bookmarkEnd w:id="9"/>
    </w:p>
    <w:p w14:paraId="5BA0796A" w14:textId="77777777" w:rsidR="00063DA1" w:rsidRPr="00705C2D" w:rsidRDefault="00063DA1" w:rsidP="00063DA1">
      <w:r w:rsidRPr="00705C2D">
        <w:t>This document is the result of more than one year of collaborative development and iterative review. It was co‑authored by members of the European Cystic Fibrosis Society (ECFS) Telehealth Working Group (THCF), Work Package 4.</w:t>
      </w:r>
    </w:p>
    <w:p w14:paraId="365EB731" w14:textId="77777777" w:rsidR="00063DA1" w:rsidRPr="00705C2D" w:rsidRDefault="00063DA1" w:rsidP="00063DA1">
      <w:r w:rsidRPr="00705C2D">
        <w:t>The author group brings together complementary expertise, including:</w:t>
      </w:r>
    </w:p>
    <w:p w14:paraId="16F7C43A" w14:textId="5B8272C6" w:rsidR="00063DA1" w:rsidRPr="00705C2D" w:rsidRDefault="0024530B" w:rsidP="00AA686A">
      <w:pPr>
        <w:pStyle w:val="ListParagraph"/>
        <w:numPr>
          <w:ilvl w:val="0"/>
          <w:numId w:val="14"/>
        </w:numPr>
      </w:pPr>
      <w:r>
        <w:t>CF lived experience</w:t>
      </w:r>
    </w:p>
    <w:p w14:paraId="3A2FAA28" w14:textId="77777777" w:rsidR="00063DA1" w:rsidRPr="00705C2D" w:rsidRDefault="00063DA1" w:rsidP="00AA686A">
      <w:pPr>
        <w:pStyle w:val="ListParagraph"/>
        <w:numPr>
          <w:ilvl w:val="0"/>
          <w:numId w:val="14"/>
        </w:numPr>
      </w:pPr>
      <w:r w:rsidRPr="00705C2D">
        <w:t>Clinical and medical expertise</w:t>
      </w:r>
    </w:p>
    <w:p w14:paraId="519F8624" w14:textId="77777777" w:rsidR="00063DA1" w:rsidRPr="00705C2D" w:rsidRDefault="00063DA1" w:rsidP="00AA686A">
      <w:pPr>
        <w:pStyle w:val="ListParagraph"/>
        <w:numPr>
          <w:ilvl w:val="0"/>
          <w:numId w:val="14"/>
        </w:numPr>
      </w:pPr>
      <w:r w:rsidRPr="00705C2D">
        <w:t>Technical and ICT expertise</w:t>
      </w:r>
    </w:p>
    <w:p w14:paraId="6FE9E319" w14:textId="77777777" w:rsidR="00063DA1" w:rsidRPr="00705C2D" w:rsidRDefault="00063DA1" w:rsidP="00AA686A">
      <w:pPr>
        <w:pStyle w:val="ListParagraph"/>
        <w:numPr>
          <w:ilvl w:val="0"/>
          <w:numId w:val="14"/>
        </w:numPr>
      </w:pPr>
      <w:r w:rsidRPr="00705C2D">
        <w:t>Telecommunications, data, and software expertise</w:t>
      </w:r>
    </w:p>
    <w:p w14:paraId="54B5E0C8" w14:textId="6D9F2517" w:rsidR="00063DA1" w:rsidRPr="00705C2D" w:rsidRDefault="00063DA1" w:rsidP="00063DA1">
      <w:r w:rsidRPr="00705C2D">
        <w:t xml:space="preserve">All contributing members have direct experience with telehealth in </w:t>
      </w:r>
      <w:r w:rsidR="00D90914">
        <w:t>CF</w:t>
      </w:r>
      <w:r w:rsidRPr="00705C2D">
        <w:t xml:space="preserve"> care, ensuring that recommendations are grounded in real‑world clinical practice rather than theoretical or purely technical considerations.</w:t>
      </w:r>
    </w:p>
    <w:p w14:paraId="297A90DD" w14:textId="558183E1" w:rsidR="00F94D6F" w:rsidRPr="00705C2D" w:rsidRDefault="00063DA1">
      <w:pPr>
        <w:rPr>
          <w:rFonts w:asciiTheme="majorHAnsi" w:eastAsiaTheme="majorEastAsia" w:hAnsiTheme="majorHAnsi" w:cstheme="majorBidi"/>
          <w:b/>
          <w:bCs/>
          <w:color w:val="365F91" w:themeColor="accent1" w:themeShade="BF"/>
          <w:sz w:val="28"/>
          <w:szCs w:val="28"/>
        </w:rPr>
      </w:pPr>
      <w:r w:rsidRPr="00705C2D">
        <w:t>This multidisciplinary approach reflects the core philosophy of the document</w:t>
      </w:r>
      <w:r w:rsidR="00477066">
        <w:t xml:space="preserve"> that</w:t>
      </w:r>
      <w:r w:rsidRPr="00705C2D">
        <w:t xml:space="preserve"> effective telehealth requires shared understanding across disciplines, clear expectations, and thoughtful integration of technology into care pathways</w:t>
      </w:r>
      <w:r w:rsidR="00477066">
        <w:t>.</w:t>
      </w:r>
      <w:r w:rsidR="00F94D6F" w:rsidRPr="00705C2D">
        <w:br w:type="page"/>
      </w:r>
    </w:p>
    <w:p w14:paraId="0AECB43C" w14:textId="43478308" w:rsidR="00A3322C" w:rsidRPr="00705C2D" w:rsidRDefault="008661C7">
      <w:pPr>
        <w:pStyle w:val="Heading1"/>
      </w:pPr>
      <w:bookmarkStart w:id="10" w:name="_Toc228182399"/>
      <w:r w:rsidRPr="00705C2D">
        <w:lastRenderedPageBreak/>
        <w:t>1.1 Digital Transformation Principles</w:t>
      </w:r>
      <w:bookmarkEnd w:id="10"/>
    </w:p>
    <w:p w14:paraId="493B8447" w14:textId="553F63B9" w:rsidR="00A3322C" w:rsidRPr="00705C2D" w:rsidRDefault="008661C7" w:rsidP="00DC0AA6">
      <w:r w:rsidRPr="00705C2D">
        <w:t>Digital transformation in telehealth requires a structured, intentional framework that protects patient trust, supports clinical safety, and ensures that technology enhances—rather than replaces—quality care. Telehealth must be introduced with clear governance, a defined strategy, appropriate fallback procedures, and explicit expectations for both clinicians and patients.</w:t>
      </w:r>
      <w:r w:rsidRPr="00705C2D">
        <w:br/>
      </w:r>
      <w:r w:rsidRPr="00705C2D">
        <w:br/>
        <w:t>Key principles include:</w:t>
      </w:r>
      <w:r w:rsidRPr="00705C2D">
        <w:br/>
        <w:t>• Telehealth should improve care efficiency and patient quality of life.</w:t>
      </w:r>
      <w:r w:rsidRPr="00705C2D">
        <w:br/>
        <w:t>• Telemedicine must not be implemented solely for financial, time-saving, or space-saving motives.</w:t>
      </w:r>
      <w:r w:rsidRPr="00705C2D">
        <w:br/>
        <w:t>• A therapeutic agreement between patient and care team is essential.</w:t>
      </w:r>
      <w:r w:rsidRPr="00705C2D">
        <w:br/>
        <w:t>• Suitable candidates are clinically stable, willing to participate, comfortable with digital tools, and have reliable internet access.</w:t>
      </w:r>
      <w:r w:rsidRPr="00705C2D">
        <w:br/>
        <w:t>• Telehealth may be prioritised for patients living far from the centre or with significant travel barriers (e.g., late pregnancy).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701"/>
        <w:gridCol w:w="4555"/>
      </w:tblGrid>
      <w:tr w:rsidR="00A3322C" w:rsidRPr="00705C2D" w14:paraId="6B414967" w14:textId="77777777" w:rsidTr="00E25219">
        <w:tc>
          <w:tcPr>
            <w:tcW w:w="2376" w:type="dxa"/>
          </w:tcPr>
          <w:p w14:paraId="0B4E67E5" w14:textId="77777777" w:rsidR="00A3322C" w:rsidRPr="00705C2D" w:rsidRDefault="008661C7">
            <w:r w:rsidRPr="00705C2D">
              <w:t>Level</w:t>
            </w:r>
          </w:p>
        </w:tc>
        <w:tc>
          <w:tcPr>
            <w:tcW w:w="1701" w:type="dxa"/>
          </w:tcPr>
          <w:p w14:paraId="59F47656" w14:textId="77777777" w:rsidR="00A3322C" w:rsidRPr="00705C2D" w:rsidRDefault="008661C7">
            <w:r w:rsidRPr="00705C2D">
              <w:t>Summary</w:t>
            </w:r>
          </w:p>
        </w:tc>
        <w:tc>
          <w:tcPr>
            <w:tcW w:w="4563" w:type="dxa"/>
          </w:tcPr>
          <w:p w14:paraId="126C9949" w14:textId="77777777" w:rsidR="00A3322C" w:rsidRPr="00705C2D" w:rsidRDefault="008661C7">
            <w:r w:rsidRPr="00705C2D">
              <w:t>Detailed Content</w:t>
            </w:r>
          </w:p>
        </w:tc>
      </w:tr>
      <w:tr w:rsidR="00A3322C" w:rsidRPr="00705C2D" w14:paraId="0FC11796" w14:textId="77777777" w:rsidTr="00E25219">
        <w:tc>
          <w:tcPr>
            <w:tcW w:w="2376" w:type="dxa"/>
          </w:tcPr>
          <w:p w14:paraId="42A9E3FD" w14:textId="77777777" w:rsidR="00A3322C" w:rsidRPr="00705C2D" w:rsidRDefault="008661C7">
            <w:r w:rsidRPr="00705C2D">
              <w:t>Highly Recommended</w:t>
            </w:r>
          </w:p>
        </w:tc>
        <w:tc>
          <w:tcPr>
            <w:tcW w:w="1701" w:type="dxa"/>
          </w:tcPr>
          <w:p w14:paraId="0A9C2639" w14:textId="77777777" w:rsidR="00A3322C" w:rsidRPr="00705C2D" w:rsidRDefault="008661C7">
            <w:r w:rsidRPr="00705C2D">
              <w:t>Core principles</w:t>
            </w:r>
          </w:p>
        </w:tc>
        <w:tc>
          <w:tcPr>
            <w:tcW w:w="4563" w:type="dxa"/>
          </w:tcPr>
          <w:p w14:paraId="23730CDC" w14:textId="37EFEC7A" w:rsidR="00A3322C" w:rsidRPr="00705C2D" w:rsidRDefault="008661C7">
            <w:r w:rsidRPr="00705C2D">
              <w:t xml:space="preserve">• Structured framework and strategy for </w:t>
            </w:r>
            <w:r w:rsidR="00B87C9C" w:rsidRPr="00705C2D">
              <w:t xml:space="preserve">operating a </w:t>
            </w:r>
            <w:r w:rsidRPr="00705C2D">
              <w:t>telehealth</w:t>
            </w:r>
            <w:r w:rsidR="00B87C9C" w:rsidRPr="00705C2D">
              <w:t xml:space="preserve"> service</w:t>
            </w:r>
            <w:r w:rsidRPr="00705C2D">
              <w:br/>
              <w:t>• Focus on care quality and quality of life</w:t>
            </w:r>
            <w:r w:rsidRPr="00705C2D">
              <w:br/>
              <w:t>• Therapeutic agreement between patient and team</w:t>
            </w:r>
          </w:p>
        </w:tc>
      </w:tr>
      <w:tr w:rsidR="00A3322C" w:rsidRPr="00705C2D" w14:paraId="6E5DFA8B" w14:textId="77777777" w:rsidTr="00E25219">
        <w:tc>
          <w:tcPr>
            <w:tcW w:w="2376" w:type="dxa"/>
          </w:tcPr>
          <w:p w14:paraId="7DB289CA" w14:textId="77777777" w:rsidR="00A3322C" w:rsidRPr="00705C2D" w:rsidRDefault="008661C7">
            <w:r w:rsidRPr="00705C2D">
              <w:t>Recommended</w:t>
            </w:r>
          </w:p>
        </w:tc>
        <w:tc>
          <w:tcPr>
            <w:tcW w:w="1701" w:type="dxa"/>
          </w:tcPr>
          <w:p w14:paraId="455D0258" w14:textId="77777777" w:rsidR="00A3322C" w:rsidRPr="00705C2D" w:rsidRDefault="008661C7">
            <w:r w:rsidRPr="00705C2D">
              <w:t>Patient readiness</w:t>
            </w:r>
          </w:p>
        </w:tc>
        <w:tc>
          <w:tcPr>
            <w:tcW w:w="4563" w:type="dxa"/>
          </w:tcPr>
          <w:p w14:paraId="1C2FBC78" w14:textId="77777777" w:rsidR="00A3322C" w:rsidRPr="00705C2D" w:rsidRDefault="008661C7">
            <w:r w:rsidRPr="00705C2D">
              <w:t>• Clinically stable</w:t>
            </w:r>
            <w:r w:rsidRPr="00705C2D">
              <w:br/>
              <w:t>• Comfortable with digital tools</w:t>
            </w:r>
            <w:r w:rsidRPr="00705C2D">
              <w:br/>
              <w:t>• Reliable internet connection</w:t>
            </w:r>
          </w:p>
        </w:tc>
      </w:tr>
      <w:tr w:rsidR="00A3322C" w:rsidRPr="00705C2D" w14:paraId="66330CB3" w14:textId="77777777" w:rsidTr="00E25219">
        <w:tc>
          <w:tcPr>
            <w:tcW w:w="2376" w:type="dxa"/>
          </w:tcPr>
          <w:p w14:paraId="2661941E" w14:textId="77777777" w:rsidR="00A3322C" w:rsidRPr="00705C2D" w:rsidRDefault="008661C7">
            <w:r w:rsidRPr="00705C2D">
              <w:t>Optional</w:t>
            </w:r>
          </w:p>
        </w:tc>
        <w:tc>
          <w:tcPr>
            <w:tcW w:w="1701" w:type="dxa"/>
          </w:tcPr>
          <w:p w14:paraId="087C12DA" w14:textId="77777777" w:rsidR="00A3322C" w:rsidRPr="00705C2D" w:rsidRDefault="008661C7">
            <w:r w:rsidRPr="00705C2D">
              <w:t>Situational enhancements</w:t>
            </w:r>
          </w:p>
        </w:tc>
        <w:tc>
          <w:tcPr>
            <w:tcW w:w="4563" w:type="dxa"/>
          </w:tcPr>
          <w:p w14:paraId="1AEBE168" w14:textId="77777777" w:rsidR="00A3322C" w:rsidRPr="00705C2D" w:rsidRDefault="008661C7">
            <w:r w:rsidRPr="00705C2D">
              <w:t>• Use of two devices when possible</w:t>
            </w:r>
            <w:r w:rsidRPr="00705C2D">
              <w:br/>
              <w:t>• Prioritise remote or travel-limited patients</w:t>
            </w:r>
          </w:p>
        </w:tc>
      </w:tr>
    </w:tbl>
    <w:p w14:paraId="4F7B1887" w14:textId="77777777" w:rsidR="008661C7" w:rsidRPr="00705C2D" w:rsidRDefault="008661C7"/>
    <w:p w14:paraId="56FE7F22" w14:textId="5D613380" w:rsidR="00E25219" w:rsidRPr="00705C2D" w:rsidRDefault="00E25219" w:rsidP="00E25219">
      <w:pPr>
        <w:pStyle w:val="Heading1"/>
      </w:pPr>
      <w:bookmarkStart w:id="11" w:name="_Toc228182400"/>
      <w:r w:rsidRPr="00705C2D">
        <w:t>1.2 Standard Operating Procedures</w:t>
      </w:r>
      <w:bookmarkEnd w:id="11"/>
    </w:p>
    <w:p w14:paraId="7C60176F" w14:textId="77777777" w:rsidR="00E25219" w:rsidRPr="00705C2D" w:rsidRDefault="00E25219" w:rsidP="00E25219">
      <w:r w:rsidRPr="00705C2D">
        <w:t>Standard operating procedures (SOPs) are essential to ensure consistent, safe, and high‑quality teleconsultations. A well‑structured SOP provides clarity for clinicians, supports predictable workflows, and ensures patients receive reliable and equitable care regardless of who is conducting the consultation. Effective SOPs define roles, outline preparatory steps, standardise communication protocols, and include clear fallback pathways when technical issues arise.</w:t>
      </w:r>
      <w:r w:rsidRPr="00705C2D">
        <w:br/>
      </w:r>
      <w:r w:rsidRPr="00705C2D">
        <w:br/>
        <w:t xml:space="preserve">Key elements include establishing a multidisciplinary framework, maintaining dedicated time and space for both clinicians and patients, ensuring secure and GDPR‑compliant data </w:t>
      </w:r>
      <w:r w:rsidRPr="00705C2D">
        <w:lastRenderedPageBreak/>
        <w:t>transfers, preparing patients to test their devices and assessment tools in advance, and incorporating step‑wise troubleshooting procedures for video, audio, and connectivity failures.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983"/>
        <w:gridCol w:w="4697"/>
      </w:tblGrid>
      <w:tr w:rsidR="00E25219" w:rsidRPr="00705C2D" w14:paraId="70C58FC5" w14:textId="77777777" w:rsidTr="00E25219">
        <w:tc>
          <w:tcPr>
            <w:tcW w:w="1951" w:type="dxa"/>
          </w:tcPr>
          <w:p w14:paraId="0D700699" w14:textId="77777777" w:rsidR="00E25219" w:rsidRPr="00705C2D" w:rsidRDefault="00E25219" w:rsidP="006A1C42">
            <w:r w:rsidRPr="00705C2D">
              <w:t>Level</w:t>
            </w:r>
          </w:p>
        </w:tc>
        <w:tc>
          <w:tcPr>
            <w:tcW w:w="1985" w:type="dxa"/>
          </w:tcPr>
          <w:p w14:paraId="1DB9C612" w14:textId="77777777" w:rsidR="00E25219" w:rsidRPr="00705C2D" w:rsidRDefault="00E25219" w:rsidP="006A1C42">
            <w:r w:rsidRPr="00705C2D">
              <w:t>Summary</w:t>
            </w:r>
          </w:p>
        </w:tc>
        <w:tc>
          <w:tcPr>
            <w:tcW w:w="4704" w:type="dxa"/>
          </w:tcPr>
          <w:p w14:paraId="7AF053A3" w14:textId="77777777" w:rsidR="00E25219" w:rsidRPr="00705C2D" w:rsidRDefault="00E25219" w:rsidP="006A1C42">
            <w:r w:rsidRPr="00705C2D">
              <w:t>Detailed Content</w:t>
            </w:r>
          </w:p>
        </w:tc>
      </w:tr>
      <w:tr w:rsidR="00E25219" w:rsidRPr="00705C2D" w14:paraId="51D81845" w14:textId="77777777" w:rsidTr="00E25219">
        <w:tc>
          <w:tcPr>
            <w:tcW w:w="1951" w:type="dxa"/>
          </w:tcPr>
          <w:p w14:paraId="662966A2" w14:textId="77777777" w:rsidR="00E25219" w:rsidRPr="00705C2D" w:rsidRDefault="00E25219" w:rsidP="006A1C42">
            <w:r w:rsidRPr="00705C2D">
              <w:t>Highly Recommended</w:t>
            </w:r>
          </w:p>
        </w:tc>
        <w:tc>
          <w:tcPr>
            <w:tcW w:w="1985" w:type="dxa"/>
          </w:tcPr>
          <w:p w14:paraId="5D534E9C" w14:textId="77777777" w:rsidR="00E25219" w:rsidRPr="00705C2D" w:rsidRDefault="00E25219" w:rsidP="006A1C42">
            <w:r w:rsidRPr="00705C2D">
              <w:t>Core clinical workflow</w:t>
            </w:r>
          </w:p>
        </w:tc>
        <w:tc>
          <w:tcPr>
            <w:tcW w:w="4704" w:type="dxa"/>
          </w:tcPr>
          <w:p w14:paraId="5FFB96E1" w14:textId="1C387633" w:rsidR="00E25219" w:rsidRPr="00705C2D" w:rsidRDefault="00E25219" w:rsidP="006A1C42">
            <w:r w:rsidRPr="00705C2D">
              <w:t>• Multidisciplinary involvement (nurse, physiotherapist, physician)</w:t>
            </w:r>
            <w:r w:rsidRPr="00705C2D">
              <w:br/>
              <w:t>• Dedicated, private, interruption‑free environment for clinicians and patients</w:t>
            </w:r>
            <w:r w:rsidRPr="00705C2D">
              <w:br/>
              <w:t>• Scheduled consultation slots matching in‑person visit duration</w:t>
            </w:r>
            <w:r w:rsidR="00156047" w:rsidRPr="00705C2D">
              <w:t xml:space="preserve"> to allow </w:t>
            </w:r>
            <w:r w:rsidR="00F8704D" w:rsidRPr="00705C2D">
              <w:t>the option of attending in person if necessary</w:t>
            </w:r>
          </w:p>
        </w:tc>
      </w:tr>
      <w:tr w:rsidR="00E25219" w:rsidRPr="00705C2D" w14:paraId="7D5F2953" w14:textId="77777777" w:rsidTr="00E25219">
        <w:tc>
          <w:tcPr>
            <w:tcW w:w="1951" w:type="dxa"/>
          </w:tcPr>
          <w:p w14:paraId="6A27E36F" w14:textId="77777777" w:rsidR="00E25219" w:rsidRPr="00705C2D" w:rsidRDefault="00E25219" w:rsidP="006A1C42">
            <w:r w:rsidRPr="00705C2D">
              <w:t>Recommended</w:t>
            </w:r>
          </w:p>
        </w:tc>
        <w:tc>
          <w:tcPr>
            <w:tcW w:w="1985" w:type="dxa"/>
          </w:tcPr>
          <w:p w14:paraId="174D0766" w14:textId="77777777" w:rsidR="00E25219" w:rsidRPr="00705C2D" w:rsidRDefault="00E25219" w:rsidP="006A1C42">
            <w:r w:rsidRPr="00705C2D">
              <w:t>Data handling &amp; preparation</w:t>
            </w:r>
          </w:p>
        </w:tc>
        <w:tc>
          <w:tcPr>
            <w:tcW w:w="4704" w:type="dxa"/>
          </w:tcPr>
          <w:p w14:paraId="37B79D0F" w14:textId="77777777" w:rsidR="00F946CF" w:rsidRPr="00705C2D" w:rsidRDefault="00E25219" w:rsidP="00F946CF">
            <w:r w:rsidRPr="00705C2D">
              <w:t>• Use GDPR‑compliant secure messaging for data transfer</w:t>
            </w:r>
            <w:r w:rsidRPr="00705C2D">
              <w:br/>
              <w:t>• Allocate clinician time for reviewing incoming patient data</w:t>
            </w:r>
          </w:p>
          <w:p w14:paraId="01218104" w14:textId="4CF60235" w:rsidR="00E25219" w:rsidRPr="00705C2D" w:rsidRDefault="00F946CF" w:rsidP="00F946CF">
            <w:r w:rsidRPr="00705C2D">
              <w:t>•</w:t>
            </w:r>
            <w:r w:rsidR="009D2ABF" w:rsidRPr="00705C2D">
              <w:t xml:space="preserve"> </w:t>
            </w:r>
            <w:r w:rsidRPr="00705C2D">
              <w:t>If possible</w:t>
            </w:r>
            <w:r w:rsidR="009D2ABF" w:rsidRPr="00705C2D">
              <w:t>, have the home spirometry supervised by a physiotherapist</w:t>
            </w:r>
            <w:r w:rsidR="00E25219" w:rsidRPr="00705C2D">
              <w:br/>
              <w:t>• Encourage patients to pre‑test tools (spirometer, scale, apps)</w:t>
            </w:r>
          </w:p>
        </w:tc>
      </w:tr>
      <w:tr w:rsidR="00E25219" w:rsidRPr="00705C2D" w14:paraId="6AF94436" w14:textId="77777777" w:rsidTr="00E25219">
        <w:tc>
          <w:tcPr>
            <w:tcW w:w="1951" w:type="dxa"/>
          </w:tcPr>
          <w:p w14:paraId="46C1622B" w14:textId="77777777" w:rsidR="00E25219" w:rsidRPr="00705C2D" w:rsidRDefault="00E25219" w:rsidP="006A1C42">
            <w:r w:rsidRPr="00705C2D">
              <w:t>Optional</w:t>
            </w:r>
          </w:p>
        </w:tc>
        <w:tc>
          <w:tcPr>
            <w:tcW w:w="1985" w:type="dxa"/>
          </w:tcPr>
          <w:p w14:paraId="03DFEB29" w14:textId="77777777" w:rsidR="00E25219" w:rsidRPr="00705C2D" w:rsidRDefault="00E25219" w:rsidP="006A1C42">
            <w:r w:rsidRPr="00705C2D">
              <w:t>Fallback &amp; advanced procedures</w:t>
            </w:r>
          </w:p>
        </w:tc>
        <w:tc>
          <w:tcPr>
            <w:tcW w:w="4704" w:type="dxa"/>
          </w:tcPr>
          <w:p w14:paraId="404D27B6" w14:textId="77777777" w:rsidR="00E25219" w:rsidRPr="00705C2D" w:rsidRDefault="00E25219" w:rsidP="006A1C42">
            <w:r w:rsidRPr="00705C2D">
              <w:t>• Structured troubleshooting for video, audio, or device failure</w:t>
            </w:r>
            <w:r w:rsidRPr="00705C2D">
              <w:br/>
              <w:t>• Alternative pathways such as phone‑only consultations or rescheduling</w:t>
            </w:r>
            <w:r w:rsidRPr="00705C2D">
              <w:br/>
              <w:t>• Identify chronic connectivity issues and modify care accordingly</w:t>
            </w:r>
          </w:p>
        </w:tc>
      </w:tr>
    </w:tbl>
    <w:p w14:paraId="77BAB650" w14:textId="77777777" w:rsidR="00E25219" w:rsidRPr="00705C2D" w:rsidRDefault="00E25219" w:rsidP="00E25219"/>
    <w:p w14:paraId="796FFF1B" w14:textId="014804F0" w:rsidR="00E25219" w:rsidRPr="00705C2D" w:rsidRDefault="00E25219" w:rsidP="00E25219">
      <w:pPr>
        <w:pStyle w:val="Heading1"/>
      </w:pPr>
      <w:bookmarkStart w:id="12" w:name="_Toc228182401"/>
      <w:r w:rsidRPr="00705C2D">
        <w:t>1.3 Time</w:t>
      </w:r>
      <w:bookmarkEnd w:id="12"/>
    </w:p>
    <w:p w14:paraId="589AB4DB" w14:textId="77777777" w:rsidR="00E25219" w:rsidRPr="00705C2D" w:rsidRDefault="00E25219" w:rsidP="00E25219">
      <w:r w:rsidRPr="00705C2D">
        <w:t>Effective telehealth delivery requires a realistic understanding of how time is allocated, both for patients and for the clinical team. While remote consultations may reduce patient travel and waiting time, they do not inherently decrease the clinical time required for safe, high‑quality care. Telehealth introduces additional administrative and data‑processing demands that must be formally recognised and protected within staff schedules.</w:t>
      </w:r>
      <w:r w:rsidRPr="00705C2D">
        <w:br/>
      </w:r>
      <w:r w:rsidRPr="00705C2D">
        <w:br/>
        <w:t xml:space="preserve">Telehealth should not be used as a mechanism to reduce face‑to‑face capacity or clinical real‑estate within a CF centre. Instead, it should be understood as a parallel mode of care that alters *where* work happens, not *how much* work is required. The remote monitoring of patients requires structured time for reviewing incoming data, assessing </w:t>
      </w:r>
      <w:r w:rsidRPr="00705C2D">
        <w:lastRenderedPageBreak/>
        <w:t>quality, interpreting clinical trends, and documenting results accurately. These tasks require dedicated medical or paramedical oversight, ensuring human clinical judgement remains central.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124"/>
        <w:gridCol w:w="4273"/>
      </w:tblGrid>
      <w:tr w:rsidR="00E25219" w:rsidRPr="00705C2D" w14:paraId="65355421" w14:textId="77777777" w:rsidTr="00E25219">
        <w:tc>
          <w:tcPr>
            <w:tcW w:w="2235" w:type="dxa"/>
          </w:tcPr>
          <w:p w14:paraId="42190DC0" w14:textId="77777777" w:rsidR="00E25219" w:rsidRPr="00705C2D" w:rsidRDefault="00E25219" w:rsidP="006A1C42">
            <w:r w:rsidRPr="00705C2D">
              <w:t>Level</w:t>
            </w:r>
          </w:p>
        </w:tc>
        <w:tc>
          <w:tcPr>
            <w:tcW w:w="2126" w:type="dxa"/>
          </w:tcPr>
          <w:p w14:paraId="56315092" w14:textId="77777777" w:rsidR="00E25219" w:rsidRPr="00705C2D" w:rsidRDefault="00E25219" w:rsidP="006A1C42">
            <w:r w:rsidRPr="00705C2D">
              <w:t>Summary</w:t>
            </w:r>
          </w:p>
        </w:tc>
        <w:tc>
          <w:tcPr>
            <w:tcW w:w="4279" w:type="dxa"/>
          </w:tcPr>
          <w:p w14:paraId="3CECD85E" w14:textId="77777777" w:rsidR="00E25219" w:rsidRPr="00705C2D" w:rsidRDefault="00E25219" w:rsidP="006A1C42">
            <w:r w:rsidRPr="00705C2D">
              <w:t>Detailed Content</w:t>
            </w:r>
          </w:p>
        </w:tc>
      </w:tr>
      <w:tr w:rsidR="00E25219" w:rsidRPr="00705C2D" w14:paraId="17660E78" w14:textId="77777777" w:rsidTr="00E25219">
        <w:tc>
          <w:tcPr>
            <w:tcW w:w="2235" w:type="dxa"/>
          </w:tcPr>
          <w:p w14:paraId="49E968DA" w14:textId="77777777" w:rsidR="00E25219" w:rsidRPr="00705C2D" w:rsidRDefault="00E25219" w:rsidP="006A1C42">
            <w:r w:rsidRPr="00705C2D">
              <w:t>Highly Recommended</w:t>
            </w:r>
          </w:p>
        </w:tc>
        <w:tc>
          <w:tcPr>
            <w:tcW w:w="2126" w:type="dxa"/>
          </w:tcPr>
          <w:p w14:paraId="1A685E7F" w14:textId="77777777" w:rsidR="00E25219" w:rsidRPr="00705C2D" w:rsidRDefault="00E25219" w:rsidP="006A1C42">
            <w:r w:rsidRPr="00705C2D">
              <w:t>Understanding time impact</w:t>
            </w:r>
          </w:p>
        </w:tc>
        <w:tc>
          <w:tcPr>
            <w:tcW w:w="4279" w:type="dxa"/>
          </w:tcPr>
          <w:p w14:paraId="30FDE5CF" w14:textId="529B4B6F" w:rsidR="00E25219" w:rsidRPr="00705C2D" w:rsidRDefault="00E25219" w:rsidP="006A1C42">
            <w:r w:rsidRPr="00705C2D">
              <w:t>• Telehealth reduces patient travel and onsite time</w:t>
            </w:r>
            <w:r w:rsidRPr="00705C2D">
              <w:br/>
              <w:t>• Clinical oversight must always remain in place (“human‑in‑the‑loop”)</w:t>
            </w:r>
            <w:r w:rsidRPr="00705C2D">
              <w:br/>
              <w:t>• Roles include</w:t>
            </w:r>
            <w:r w:rsidR="00AE055A" w:rsidRPr="00705C2D">
              <w:t xml:space="preserve"> entire CF care team, for example:</w:t>
            </w:r>
            <w:r w:rsidRPr="00705C2D">
              <w:t xml:space="preserve"> nurse, physiotherapist, and physician</w:t>
            </w:r>
          </w:p>
        </w:tc>
      </w:tr>
      <w:tr w:rsidR="00E25219" w:rsidRPr="00705C2D" w14:paraId="3629C21D" w14:textId="77777777" w:rsidTr="00E25219">
        <w:tc>
          <w:tcPr>
            <w:tcW w:w="2235" w:type="dxa"/>
          </w:tcPr>
          <w:p w14:paraId="4145C405" w14:textId="77777777" w:rsidR="00E25219" w:rsidRPr="00705C2D" w:rsidRDefault="00E25219" w:rsidP="006A1C42">
            <w:r w:rsidRPr="00705C2D">
              <w:t>Recommended</w:t>
            </w:r>
          </w:p>
        </w:tc>
        <w:tc>
          <w:tcPr>
            <w:tcW w:w="2126" w:type="dxa"/>
          </w:tcPr>
          <w:p w14:paraId="2C7DD706" w14:textId="77777777" w:rsidR="00E25219" w:rsidRPr="00705C2D" w:rsidRDefault="00E25219" w:rsidP="006A1C42">
            <w:r w:rsidRPr="00705C2D">
              <w:t>Recognising centre workload</w:t>
            </w:r>
          </w:p>
        </w:tc>
        <w:tc>
          <w:tcPr>
            <w:tcW w:w="4279" w:type="dxa"/>
          </w:tcPr>
          <w:p w14:paraId="72AEC789" w14:textId="77777777" w:rsidR="00E25219" w:rsidRPr="00705C2D" w:rsidRDefault="00E25219" w:rsidP="006A1C42">
            <w:r w:rsidRPr="00705C2D">
              <w:t>• Telehealth should not reduce onsite clinical capacity or staffing</w:t>
            </w:r>
            <w:r w:rsidRPr="00705C2D">
              <w:br/>
              <w:t>• Remote consultations introduce additional administrative and data review tasks</w:t>
            </w:r>
            <w:r w:rsidRPr="00705C2D">
              <w:br/>
              <w:t>• Remote observation and data tracking increase clinical time requirements</w:t>
            </w:r>
          </w:p>
        </w:tc>
      </w:tr>
      <w:tr w:rsidR="00E25219" w:rsidRPr="00705C2D" w14:paraId="133CD11C" w14:textId="77777777" w:rsidTr="00E25219">
        <w:tc>
          <w:tcPr>
            <w:tcW w:w="2235" w:type="dxa"/>
          </w:tcPr>
          <w:p w14:paraId="7B08A960" w14:textId="77777777" w:rsidR="00E25219" w:rsidRPr="00705C2D" w:rsidRDefault="00E25219" w:rsidP="006A1C42">
            <w:r w:rsidRPr="00705C2D">
              <w:t>Optional</w:t>
            </w:r>
          </w:p>
        </w:tc>
        <w:tc>
          <w:tcPr>
            <w:tcW w:w="2126" w:type="dxa"/>
          </w:tcPr>
          <w:p w14:paraId="1656B5B9" w14:textId="77777777" w:rsidR="00E25219" w:rsidRPr="00705C2D" w:rsidRDefault="00E25219" w:rsidP="006A1C42">
            <w:r w:rsidRPr="00705C2D">
              <w:t>Dedicated telehealth time blocks</w:t>
            </w:r>
          </w:p>
        </w:tc>
        <w:tc>
          <w:tcPr>
            <w:tcW w:w="4279" w:type="dxa"/>
          </w:tcPr>
          <w:p w14:paraId="178638C6" w14:textId="77777777" w:rsidR="00E25219" w:rsidRPr="00705C2D" w:rsidRDefault="00E25219" w:rsidP="006A1C42">
            <w:r w:rsidRPr="00705C2D">
              <w:t>• Allocate structured time for receiving, validating, and interpreting remote data</w:t>
            </w:r>
            <w:r w:rsidRPr="00705C2D">
              <w:br/>
              <w:t>• Enter data into clinical systems and formulate action plans</w:t>
            </w:r>
            <w:r w:rsidRPr="00705C2D">
              <w:br/>
              <w:t>• Conduct continuous remote monitoring for selected patients</w:t>
            </w:r>
          </w:p>
        </w:tc>
      </w:tr>
    </w:tbl>
    <w:p w14:paraId="1F2ED619" w14:textId="77777777" w:rsidR="00E25219" w:rsidRPr="00705C2D" w:rsidRDefault="00E25219" w:rsidP="00E25219"/>
    <w:p w14:paraId="3E0DA38D" w14:textId="0586B87E" w:rsidR="00E25219" w:rsidRPr="00705C2D" w:rsidRDefault="00E25219">
      <w:r w:rsidRPr="00705C2D">
        <w:br w:type="page"/>
      </w:r>
    </w:p>
    <w:p w14:paraId="38075C0C" w14:textId="14D5624A" w:rsidR="00E25219" w:rsidRPr="00705C2D" w:rsidRDefault="00E25219" w:rsidP="00E25219">
      <w:pPr>
        <w:pStyle w:val="Heading1"/>
      </w:pPr>
      <w:bookmarkStart w:id="13" w:name="_Toc228182402"/>
      <w:r w:rsidRPr="00705C2D">
        <w:lastRenderedPageBreak/>
        <w:t>2.1 Phone vs Video Call</w:t>
      </w:r>
      <w:bookmarkEnd w:id="13"/>
    </w:p>
    <w:p w14:paraId="45F2E53A" w14:textId="77777777" w:rsidR="00F5716F" w:rsidRDefault="00E25219" w:rsidP="00E25219">
      <w:r w:rsidRPr="00705C2D">
        <w:t>Telephone and video consultations represent two distinct modes of delivering telehealth, each with its own clinical, operational, and technical implications. Video consultations allow for richer assessment—supporting visual inspection, non‑verbal communication, demonstration of airway clearance techniques, and environmental observations. Phone consultations may be suitable for stable follow‑ups or administrative checks but provide significantly less clinical information and should not be used when visual assessment is required.</w:t>
      </w:r>
      <w:r w:rsidRPr="00705C2D">
        <w:br/>
      </w:r>
      <w:r w:rsidRPr="00705C2D">
        <w:br/>
      </w:r>
      <w:r w:rsidR="00C44AE7" w:rsidRPr="00705C2D">
        <w:t xml:space="preserve">Safe and effective telehealth encounters must be conducted using approved, secure platforms and not via social‑media applications. </w:t>
      </w:r>
      <w:r w:rsidR="00F46D15" w:rsidRPr="00705C2D">
        <w:t xml:space="preserve">In some services, the use of social media such as WhatsApp for communication is unavoidable as </w:t>
      </w:r>
      <w:r w:rsidR="008465C9" w:rsidRPr="00705C2D">
        <w:t xml:space="preserve">approved secured platforms are unavailable. In this case care teams </w:t>
      </w:r>
      <w:r w:rsidR="00F5716F">
        <w:t xml:space="preserve">and patients </w:t>
      </w:r>
      <w:r w:rsidR="008465C9" w:rsidRPr="00705C2D">
        <w:t>should be aware of potential security</w:t>
      </w:r>
      <w:r w:rsidR="000E1E69" w:rsidRPr="00705C2D">
        <w:t xml:space="preserve"> issues. </w:t>
      </w:r>
      <w:r w:rsidR="000E1E69" w:rsidRPr="00705C2D">
        <w:br/>
      </w:r>
    </w:p>
    <w:p w14:paraId="0D630637" w14:textId="00A49B9F" w:rsidR="00E25219" w:rsidRPr="00705C2D" w:rsidRDefault="00E25219" w:rsidP="00E25219">
      <w:r w:rsidRPr="00705C2D">
        <w:t>Clinicians must also ensure appropriate ‘</w:t>
      </w:r>
      <w:proofErr w:type="spellStart"/>
      <w:r w:rsidRPr="00705C2D">
        <w:t>webside</w:t>
      </w:r>
      <w:proofErr w:type="spellEnd"/>
      <w:r w:rsidRPr="00705C2D">
        <w:t xml:space="preserve"> manner’, maintaining empathy, clarity, and professionalism through the screen. Data recording methods should be standardised and should prioritise clinical accuracy—ranging from direct EHR entry to AI‑assisted transcription, provided such tools remain clinician‑verified. Dedicated preparation (lighting, privacy, sound quality, and device setup) significantly improves the reliability and safety of remote consultations.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403"/>
      </w:tblGrid>
      <w:tr w:rsidR="00E25219" w:rsidRPr="00705C2D" w14:paraId="6DE2144B" w14:textId="77777777" w:rsidTr="00E25219">
        <w:tc>
          <w:tcPr>
            <w:tcW w:w="1668" w:type="dxa"/>
          </w:tcPr>
          <w:p w14:paraId="2AF214E5" w14:textId="77777777" w:rsidR="00E25219" w:rsidRPr="00705C2D" w:rsidRDefault="00E25219" w:rsidP="006A1C42">
            <w:r w:rsidRPr="00705C2D">
              <w:t>Level</w:t>
            </w:r>
          </w:p>
        </w:tc>
        <w:tc>
          <w:tcPr>
            <w:tcW w:w="1559" w:type="dxa"/>
          </w:tcPr>
          <w:p w14:paraId="24184F6A" w14:textId="77777777" w:rsidR="00E25219" w:rsidRPr="00705C2D" w:rsidRDefault="00E25219" w:rsidP="006A1C42">
            <w:r w:rsidRPr="00705C2D">
              <w:t>Summary</w:t>
            </w:r>
          </w:p>
        </w:tc>
        <w:tc>
          <w:tcPr>
            <w:tcW w:w="5413" w:type="dxa"/>
          </w:tcPr>
          <w:p w14:paraId="53AB4E27" w14:textId="77777777" w:rsidR="00E25219" w:rsidRPr="00705C2D" w:rsidRDefault="00E25219" w:rsidP="006A1C42">
            <w:r w:rsidRPr="00705C2D">
              <w:t>Detailed Content</w:t>
            </w:r>
          </w:p>
        </w:tc>
      </w:tr>
      <w:tr w:rsidR="00E25219" w:rsidRPr="00705C2D" w14:paraId="13EC72A1" w14:textId="77777777" w:rsidTr="00E25219">
        <w:tc>
          <w:tcPr>
            <w:tcW w:w="1668" w:type="dxa"/>
          </w:tcPr>
          <w:p w14:paraId="15317131" w14:textId="77777777" w:rsidR="00E25219" w:rsidRPr="00705C2D" w:rsidRDefault="00E25219" w:rsidP="006A1C42">
            <w:r w:rsidRPr="00705C2D">
              <w:t>Highly Recommended</w:t>
            </w:r>
          </w:p>
        </w:tc>
        <w:tc>
          <w:tcPr>
            <w:tcW w:w="1559" w:type="dxa"/>
          </w:tcPr>
          <w:p w14:paraId="24D026AA" w14:textId="77777777" w:rsidR="00E25219" w:rsidRPr="00705C2D" w:rsidRDefault="00E25219" w:rsidP="006A1C42">
            <w:r w:rsidRPr="00705C2D">
              <w:t>Foundational requirements</w:t>
            </w:r>
          </w:p>
        </w:tc>
        <w:tc>
          <w:tcPr>
            <w:tcW w:w="5413" w:type="dxa"/>
          </w:tcPr>
          <w:p w14:paraId="606814A2" w14:textId="5251BC3F" w:rsidR="00E25219" w:rsidRPr="00705C2D" w:rsidRDefault="00E25219" w:rsidP="006A1C42">
            <w:r w:rsidRPr="00705C2D">
              <w:t>• Use approved, secure telehealth platforms (GDPR‑compliant)</w:t>
            </w:r>
            <w:r w:rsidRPr="00705C2D">
              <w:br/>
              <w:t>• Ensure privacy, adequate lighting, and good sound insulation</w:t>
            </w:r>
            <w:r w:rsidR="00296F2C" w:rsidRPr="00705C2D">
              <w:t xml:space="preserve"> (for both patients and care teams)</w:t>
            </w:r>
            <w:r w:rsidRPr="00705C2D">
              <w:br/>
              <w:t>• Maintain professional “</w:t>
            </w:r>
            <w:proofErr w:type="spellStart"/>
            <w:r w:rsidRPr="00705C2D">
              <w:t>webside</w:t>
            </w:r>
            <w:proofErr w:type="spellEnd"/>
            <w:r w:rsidRPr="00705C2D">
              <w:t xml:space="preserve"> manner” and clear communication</w:t>
            </w:r>
          </w:p>
        </w:tc>
      </w:tr>
      <w:tr w:rsidR="00E25219" w:rsidRPr="00705C2D" w14:paraId="585514B4" w14:textId="77777777" w:rsidTr="00E25219">
        <w:tc>
          <w:tcPr>
            <w:tcW w:w="1668" w:type="dxa"/>
          </w:tcPr>
          <w:p w14:paraId="70F653EA" w14:textId="77777777" w:rsidR="00E25219" w:rsidRPr="00705C2D" w:rsidRDefault="00E25219" w:rsidP="006A1C42">
            <w:r w:rsidRPr="00705C2D">
              <w:t>Recommended</w:t>
            </w:r>
          </w:p>
        </w:tc>
        <w:tc>
          <w:tcPr>
            <w:tcW w:w="1559" w:type="dxa"/>
          </w:tcPr>
          <w:p w14:paraId="34FE3883" w14:textId="77777777" w:rsidR="00E25219" w:rsidRPr="00705C2D" w:rsidRDefault="00E25219" w:rsidP="006A1C42">
            <w:r w:rsidRPr="00705C2D">
              <w:t>Enhanced workflow</w:t>
            </w:r>
          </w:p>
        </w:tc>
        <w:tc>
          <w:tcPr>
            <w:tcW w:w="5413" w:type="dxa"/>
          </w:tcPr>
          <w:p w14:paraId="17CAC0D9" w14:textId="77777777" w:rsidR="00E25219" w:rsidRPr="00705C2D" w:rsidRDefault="00E25219" w:rsidP="006A1C42">
            <w:r w:rsidRPr="00705C2D">
              <w:t>• Use digital note‑taking or EHR entry during consults</w:t>
            </w:r>
            <w:r w:rsidRPr="00705C2D">
              <w:br/>
              <w:t>• Employ a second monitor for simultaneous EHR review</w:t>
            </w:r>
            <w:r w:rsidRPr="00705C2D">
              <w:br/>
              <w:t>• Consider AI‑supported transcription with clinician verification</w:t>
            </w:r>
          </w:p>
        </w:tc>
      </w:tr>
      <w:tr w:rsidR="00E25219" w:rsidRPr="00705C2D" w14:paraId="5719A91E" w14:textId="77777777" w:rsidTr="00E25219">
        <w:tc>
          <w:tcPr>
            <w:tcW w:w="1668" w:type="dxa"/>
          </w:tcPr>
          <w:p w14:paraId="53082F5B" w14:textId="77777777" w:rsidR="00E25219" w:rsidRPr="00705C2D" w:rsidRDefault="00E25219" w:rsidP="006A1C42">
            <w:r w:rsidRPr="00705C2D">
              <w:t>Optional</w:t>
            </w:r>
          </w:p>
        </w:tc>
        <w:tc>
          <w:tcPr>
            <w:tcW w:w="1559" w:type="dxa"/>
          </w:tcPr>
          <w:p w14:paraId="7C0D9A76" w14:textId="77777777" w:rsidR="00E25219" w:rsidRPr="00705C2D" w:rsidRDefault="00E25219" w:rsidP="006A1C42">
            <w:r w:rsidRPr="00705C2D">
              <w:t>Tools for specific use cases</w:t>
            </w:r>
          </w:p>
        </w:tc>
        <w:tc>
          <w:tcPr>
            <w:tcW w:w="5413" w:type="dxa"/>
          </w:tcPr>
          <w:p w14:paraId="30EB89FE" w14:textId="77777777" w:rsidR="00E25219" w:rsidRPr="00705C2D" w:rsidRDefault="00E25219" w:rsidP="006A1C42">
            <w:r w:rsidRPr="00705C2D">
              <w:t>• AI‑based automated transcription systems</w:t>
            </w:r>
            <w:r w:rsidRPr="00705C2D">
              <w:br/>
              <w:t>• Social‑media apps for non‑clinical logistical communication only</w:t>
            </w:r>
            <w:r w:rsidRPr="00705C2D">
              <w:br/>
              <w:t>• Pen‑and‑paper note‑taking when digital tools fail</w:t>
            </w:r>
          </w:p>
        </w:tc>
      </w:tr>
    </w:tbl>
    <w:p w14:paraId="0E79C78E" w14:textId="77777777" w:rsidR="00E25219" w:rsidRPr="00705C2D" w:rsidRDefault="00E25219" w:rsidP="00E25219"/>
    <w:p w14:paraId="3F2B2D62" w14:textId="2AD875C9" w:rsidR="00E25219" w:rsidRPr="00705C2D" w:rsidRDefault="00E25219" w:rsidP="00B25667">
      <w:pPr>
        <w:pStyle w:val="Heading1"/>
      </w:pPr>
      <w:bookmarkStart w:id="14" w:name="_Toc228182403"/>
      <w:r w:rsidRPr="00705C2D">
        <w:lastRenderedPageBreak/>
        <w:t>2.2 Internet Connection</w:t>
      </w:r>
      <w:bookmarkEnd w:id="14"/>
    </w:p>
    <w:p w14:paraId="7678D181" w14:textId="2C717862" w:rsidR="00E25219" w:rsidRPr="00705C2D" w:rsidRDefault="00E25219" w:rsidP="00E25219">
      <w:r w:rsidRPr="00705C2D">
        <w:t>A reliable internet connection is a foundational requirement for safe and effective telehealth. Video consultations, in particular, depend on stable upload and download speeds, low latency, and predictable network performance. Poor connectivity not only disrupts clinical communication but may also erode patient trust in the telehealth service.</w:t>
      </w:r>
      <w:r w:rsidRPr="00705C2D">
        <w:br/>
      </w:r>
      <w:r w:rsidRPr="00705C2D">
        <w:br/>
        <w:t>Modern broadband options such as fibre and low</w:t>
      </w:r>
      <w:r w:rsidRPr="00705C2D">
        <w:noBreakHyphen/>
        <w:t>earth</w:t>
      </w:r>
      <w:r w:rsidRPr="00705C2D">
        <w:noBreakHyphen/>
        <w:t>orbit satellite systems (e.g., Starlink) typically provide adequate bandwidth and stability for clinical use. Traditional technologies like ADSL or geostationary satellite may be more variable, with slower speeds or significant latency. Mobile data (4G/5G) can serve as a backup connection, though users may experience frequent switching between network types.</w:t>
      </w:r>
      <w:r w:rsidRPr="00705C2D">
        <w:br/>
      </w:r>
      <w:r w:rsidRPr="00705C2D">
        <w:br/>
        <w:t>A simple but essential safety step</w:t>
      </w:r>
      <w:r w:rsidR="00D17639" w:rsidRPr="00705C2D">
        <w:t xml:space="preserve"> for patients and care teams</w:t>
      </w:r>
      <w:r w:rsidRPr="00705C2D">
        <w:t xml:space="preserve"> is performing a speed test before a video consultation</w:t>
      </w:r>
      <w:r w:rsidR="000C1183" w:rsidRPr="00705C2D">
        <w:t>, that measures the available upload and download speeds available to the device before a video consultation</w:t>
      </w:r>
      <w:r w:rsidRPr="00705C2D">
        <w:t>. This helps confirm that the connection can support audio</w:t>
      </w:r>
      <w:r w:rsidRPr="00705C2D">
        <w:noBreakHyphen/>
        <w:t>visual communication. Clinicians should also remind patients that connectivity issues often originate from their internet service or device rather than the telehealth platform. Building digital trust relies on setting expectations and providing practical troubleshooting guidance.</w:t>
      </w:r>
    </w:p>
    <w:p w14:paraId="481F300B" w14:textId="56FD33C2" w:rsidR="00F73CFA" w:rsidRPr="00705C2D" w:rsidRDefault="00F73CFA" w:rsidP="00E25219">
      <w:r w:rsidRPr="00705C2D">
        <w:t>It is also possible that the internet connection problems originate from the hospital where the healthcare workers are located (firewall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842"/>
        <w:gridCol w:w="4697"/>
      </w:tblGrid>
      <w:tr w:rsidR="00E25219" w:rsidRPr="00705C2D" w14:paraId="40C2828F" w14:textId="77777777" w:rsidTr="00E25219">
        <w:tc>
          <w:tcPr>
            <w:tcW w:w="2093" w:type="dxa"/>
            <w:hideMark/>
          </w:tcPr>
          <w:p w14:paraId="140A37F4" w14:textId="77777777" w:rsidR="00E25219" w:rsidRPr="00705C2D" w:rsidRDefault="00E25219" w:rsidP="00E25219">
            <w:r w:rsidRPr="00705C2D">
              <w:t>Level</w:t>
            </w:r>
          </w:p>
        </w:tc>
        <w:tc>
          <w:tcPr>
            <w:tcW w:w="1843" w:type="dxa"/>
            <w:hideMark/>
          </w:tcPr>
          <w:p w14:paraId="6711494E" w14:textId="77777777" w:rsidR="00E25219" w:rsidRPr="00705C2D" w:rsidRDefault="00E25219" w:rsidP="00E25219">
            <w:r w:rsidRPr="00705C2D">
              <w:t>Summary</w:t>
            </w:r>
          </w:p>
        </w:tc>
        <w:tc>
          <w:tcPr>
            <w:tcW w:w="4704" w:type="dxa"/>
            <w:hideMark/>
          </w:tcPr>
          <w:p w14:paraId="1D3621FC" w14:textId="77777777" w:rsidR="00E25219" w:rsidRPr="00705C2D" w:rsidRDefault="00E25219" w:rsidP="00E25219">
            <w:r w:rsidRPr="00705C2D">
              <w:t>Detailed Content</w:t>
            </w:r>
          </w:p>
        </w:tc>
      </w:tr>
      <w:tr w:rsidR="00E25219" w:rsidRPr="00705C2D" w14:paraId="5566B2B8" w14:textId="77777777" w:rsidTr="00E25219">
        <w:tc>
          <w:tcPr>
            <w:tcW w:w="2093" w:type="dxa"/>
            <w:hideMark/>
          </w:tcPr>
          <w:p w14:paraId="011782C4" w14:textId="77777777" w:rsidR="00E25219" w:rsidRPr="00705C2D" w:rsidRDefault="00E25219" w:rsidP="00E25219">
            <w:r w:rsidRPr="00705C2D">
              <w:t>Highly Recommended</w:t>
            </w:r>
          </w:p>
        </w:tc>
        <w:tc>
          <w:tcPr>
            <w:tcW w:w="1843" w:type="dxa"/>
            <w:hideMark/>
          </w:tcPr>
          <w:p w14:paraId="7E00525F" w14:textId="77777777" w:rsidR="00E25219" w:rsidRPr="00705C2D" w:rsidRDefault="00E25219" w:rsidP="00E25219">
            <w:r w:rsidRPr="00705C2D">
              <w:t>Reliable connection standards</w:t>
            </w:r>
          </w:p>
        </w:tc>
        <w:tc>
          <w:tcPr>
            <w:tcW w:w="4704" w:type="dxa"/>
            <w:hideMark/>
          </w:tcPr>
          <w:p w14:paraId="6D64F70E" w14:textId="02B84D4A" w:rsidR="00E25219" w:rsidRPr="00705C2D" w:rsidRDefault="00E25219" w:rsidP="00E25219">
            <w:r w:rsidRPr="00705C2D">
              <w:t>• Use fibre</w:t>
            </w:r>
            <w:r w:rsidRPr="00705C2D">
              <w:noBreakHyphen/>
              <w:t>optic broadband whenever available</w:t>
            </w:r>
            <w:r w:rsidRPr="00705C2D">
              <w:br/>
              <w:t>• Starlink suitable for rural/remote areas</w:t>
            </w:r>
            <w:r w:rsidRPr="00705C2D">
              <w:br/>
              <w:t>• Perform a pre</w:t>
            </w:r>
            <w:r w:rsidRPr="00705C2D">
              <w:noBreakHyphen/>
              <w:t>call speed test to verify bandwidth</w:t>
            </w:r>
            <w:r w:rsidR="00B53124" w:rsidRPr="00705C2D">
              <w:t xml:space="preserve"> and available upload and download speeds</w:t>
            </w:r>
          </w:p>
        </w:tc>
      </w:tr>
      <w:tr w:rsidR="00E25219" w:rsidRPr="00705C2D" w14:paraId="40C4D001" w14:textId="77777777" w:rsidTr="00E25219">
        <w:tc>
          <w:tcPr>
            <w:tcW w:w="2093" w:type="dxa"/>
            <w:hideMark/>
          </w:tcPr>
          <w:p w14:paraId="5FE32691" w14:textId="77777777" w:rsidR="00E25219" w:rsidRPr="00705C2D" w:rsidRDefault="00E25219" w:rsidP="00E25219">
            <w:r w:rsidRPr="00705C2D">
              <w:t>Recommended</w:t>
            </w:r>
          </w:p>
        </w:tc>
        <w:tc>
          <w:tcPr>
            <w:tcW w:w="1843" w:type="dxa"/>
            <w:hideMark/>
          </w:tcPr>
          <w:p w14:paraId="284B6DD5" w14:textId="77777777" w:rsidR="00E25219" w:rsidRPr="00705C2D" w:rsidRDefault="00E25219" w:rsidP="00E25219">
            <w:r w:rsidRPr="00705C2D">
              <w:t>Backup and diagnostic practices</w:t>
            </w:r>
          </w:p>
        </w:tc>
        <w:tc>
          <w:tcPr>
            <w:tcW w:w="4704" w:type="dxa"/>
            <w:hideMark/>
          </w:tcPr>
          <w:p w14:paraId="70C14018" w14:textId="77777777" w:rsidR="00E25219" w:rsidRPr="00705C2D" w:rsidRDefault="00E25219" w:rsidP="00E25219">
            <w:r w:rsidRPr="00705C2D">
              <w:t>• Use 4G/5G as a backup when home broadband is unreliable</w:t>
            </w:r>
            <w:r w:rsidRPr="00705C2D">
              <w:br/>
              <w:t>• Enable Wi</w:t>
            </w:r>
            <w:r w:rsidRPr="00705C2D">
              <w:noBreakHyphen/>
              <w:t>Fi calling in areas with poor cellular signal</w:t>
            </w:r>
            <w:r w:rsidRPr="00705C2D">
              <w:br/>
              <w:t>• Understand connection types may change frequently</w:t>
            </w:r>
          </w:p>
        </w:tc>
      </w:tr>
      <w:tr w:rsidR="00E25219" w:rsidRPr="00705C2D" w14:paraId="530C3E75" w14:textId="77777777" w:rsidTr="00E25219">
        <w:tc>
          <w:tcPr>
            <w:tcW w:w="2093" w:type="dxa"/>
            <w:hideMark/>
          </w:tcPr>
          <w:p w14:paraId="596C96CB" w14:textId="77777777" w:rsidR="00E25219" w:rsidRPr="00705C2D" w:rsidRDefault="00E25219" w:rsidP="00E25219">
            <w:r w:rsidRPr="00705C2D">
              <w:t>Optional</w:t>
            </w:r>
          </w:p>
        </w:tc>
        <w:tc>
          <w:tcPr>
            <w:tcW w:w="1843" w:type="dxa"/>
            <w:hideMark/>
          </w:tcPr>
          <w:p w14:paraId="35E1E12F" w14:textId="77777777" w:rsidR="00E25219" w:rsidRPr="00705C2D" w:rsidRDefault="00E25219" w:rsidP="00E25219">
            <w:r w:rsidRPr="00705C2D">
              <w:t>Legacy and advanced solutions</w:t>
            </w:r>
          </w:p>
        </w:tc>
        <w:tc>
          <w:tcPr>
            <w:tcW w:w="4704" w:type="dxa"/>
            <w:hideMark/>
          </w:tcPr>
          <w:p w14:paraId="35889015" w14:textId="77777777" w:rsidR="00E25219" w:rsidRPr="00705C2D" w:rsidRDefault="00E25219" w:rsidP="00E25219">
            <w:r w:rsidRPr="00705C2D">
              <w:t>• Geostationary satellite as a last resort due to latency</w:t>
            </w:r>
            <w:r w:rsidRPr="00705C2D">
              <w:br/>
              <w:t>• Dial</w:t>
            </w:r>
            <w:r w:rsidRPr="00705C2D">
              <w:noBreakHyphen/>
              <w:t>up unsuitable for clinical video use</w:t>
            </w:r>
            <w:r w:rsidRPr="00705C2D">
              <w:br/>
              <w:t>• SD</w:t>
            </w:r>
            <w:r w:rsidRPr="00705C2D">
              <w:noBreakHyphen/>
              <w:t>WAN may support clinics needing high stability</w:t>
            </w:r>
          </w:p>
        </w:tc>
      </w:tr>
    </w:tbl>
    <w:p w14:paraId="17C4FDA0" w14:textId="77777777" w:rsidR="00E25219" w:rsidRPr="00705C2D" w:rsidRDefault="00E25219" w:rsidP="00E25219"/>
    <w:p w14:paraId="1E091087" w14:textId="6CCD8D5F" w:rsidR="00E25219" w:rsidRPr="00705C2D" w:rsidRDefault="00E25219" w:rsidP="00E25219">
      <w:pPr>
        <w:pStyle w:val="Heading1"/>
      </w:pPr>
      <w:bookmarkStart w:id="15" w:name="_Toc228182404"/>
      <w:r w:rsidRPr="00705C2D">
        <w:t>2.3 Security</w:t>
      </w:r>
      <w:bookmarkEnd w:id="15"/>
    </w:p>
    <w:p w14:paraId="5CCBCB7B" w14:textId="77777777" w:rsidR="00E25219" w:rsidRPr="00705C2D" w:rsidRDefault="00E25219" w:rsidP="00E25219">
      <w:r w:rsidRPr="00705C2D">
        <w:t>Robust security measures are essential to safeguard patient health information in any telehealth service. Security must be embedded throughout the full data lifecycle—from transmission to storage—to ensure confidentiality, integrity, and regulatory compliance. This includes using encrypted communication channels, secure authentication methods, and approved data‑storage environments.</w:t>
      </w:r>
      <w:r w:rsidRPr="00705C2D">
        <w:br/>
      </w:r>
      <w:r w:rsidRPr="00705C2D">
        <w:br/>
        <w:t>End‑to‑end protection requires attention to both technical and human factors. Technical safeguards include TLS‑encrypted connections, secure login processes, multi‑factor authentication, and compliant data‑handling pathways. Operational safeguards include training staff to avoid data‑leak risks, ensuring patches and updates are applied regularly, and using de‑identified credentials for system access to minimise phishing or identity‑theft exposure.</w:t>
      </w:r>
      <w:r w:rsidRPr="00705C2D">
        <w:br/>
      </w:r>
      <w:r w:rsidRPr="00705C2D">
        <w:br/>
        <w:t>Security processes must also cover how data is transported, how long it is stored, and how it is accessed during a consultation. Every telehealth workflow should be designed with a clear understanding of the legal and governance requirements that apply within the healthcare setting.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4"/>
        <w:gridCol w:w="4837"/>
      </w:tblGrid>
      <w:tr w:rsidR="00E25219" w:rsidRPr="00705C2D" w14:paraId="6223E71D" w14:textId="77777777" w:rsidTr="00E25219">
        <w:tc>
          <w:tcPr>
            <w:tcW w:w="1809" w:type="dxa"/>
          </w:tcPr>
          <w:p w14:paraId="114A0F9E" w14:textId="77777777" w:rsidR="00E25219" w:rsidRPr="00705C2D" w:rsidRDefault="00E25219" w:rsidP="006A1C42">
            <w:r w:rsidRPr="00705C2D">
              <w:t>Level</w:t>
            </w:r>
          </w:p>
        </w:tc>
        <w:tc>
          <w:tcPr>
            <w:tcW w:w="1985" w:type="dxa"/>
          </w:tcPr>
          <w:p w14:paraId="6145E362" w14:textId="77777777" w:rsidR="00E25219" w:rsidRPr="00705C2D" w:rsidRDefault="00E25219" w:rsidP="006A1C42">
            <w:r w:rsidRPr="00705C2D">
              <w:t>Summary</w:t>
            </w:r>
          </w:p>
        </w:tc>
        <w:tc>
          <w:tcPr>
            <w:tcW w:w="4846" w:type="dxa"/>
          </w:tcPr>
          <w:p w14:paraId="51310F47" w14:textId="77777777" w:rsidR="00E25219" w:rsidRPr="00705C2D" w:rsidRDefault="00E25219" w:rsidP="006A1C42">
            <w:r w:rsidRPr="00705C2D">
              <w:t>Detailed Content</w:t>
            </w:r>
          </w:p>
        </w:tc>
      </w:tr>
      <w:tr w:rsidR="00E25219" w:rsidRPr="00705C2D" w14:paraId="00F21919" w14:textId="77777777" w:rsidTr="00E25219">
        <w:tc>
          <w:tcPr>
            <w:tcW w:w="1809" w:type="dxa"/>
          </w:tcPr>
          <w:p w14:paraId="166638F3" w14:textId="77777777" w:rsidR="00E25219" w:rsidRPr="00705C2D" w:rsidRDefault="00E25219" w:rsidP="006A1C42">
            <w:r w:rsidRPr="00705C2D">
              <w:t>Highly Recommended</w:t>
            </w:r>
          </w:p>
        </w:tc>
        <w:tc>
          <w:tcPr>
            <w:tcW w:w="1985" w:type="dxa"/>
          </w:tcPr>
          <w:p w14:paraId="6AA38DF4" w14:textId="77777777" w:rsidR="00E25219" w:rsidRPr="00705C2D" w:rsidRDefault="00E25219" w:rsidP="006A1C42">
            <w:r w:rsidRPr="00705C2D">
              <w:t>Foundational security controls</w:t>
            </w:r>
          </w:p>
        </w:tc>
        <w:tc>
          <w:tcPr>
            <w:tcW w:w="4846" w:type="dxa"/>
          </w:tcPr>
          <w:p w14:paraId="1F89B504" w14:textId="77777777" w:rsidR="00E25219" w:rsidRPr="00705C2D" w:rsidRDefault="00E25219" w:rsidP="006A1C42">
            <w:r w:rsidRPr="00705C2D">
              <w:t>• Encrypt all communications and stored data</w:t>
            </w:r>
            <w:r w:rsidRPr="00705C2D">
              <w:br/>
              <w:t>• Use secure data‑transport mechanisms (TLS, HTTPS, VPN)</w:t>
            </w:r>
            <w:r w:rsidRPr="00705C2D">
              <w:br/>
              <w:t>• Ensure compliant data storage in approved clinical servers</w:t>
            </w:r>
            <w:r w:rsidRPr="00705C2D">
              <w:br/>
              <w:t>• Maintain awareness of data‑leak risks (unpatched systems, mis‑sent files)</w:t>
            </w:r>
          </w:p>
        </w:tc>
      </w:tr>
      <w:tr w:rsidR="00E25219" w:rsidRPr="00705C2D" w14:paraId="2BA19633" w14:textId="77777777" w:rsidTr="00E25219">
        <w:tc>
          <w:tcPr>
            <w:tcW w:w="1809" w:type="dxa"/>
          </w:tcPr>
          <w:p w14:paraId="62B981DD" w14:textId="77777777" w:rsidR="00E25219" w:rsidRPr="00705C2D" w:rsidRDefault="00E25219" w:rsidP="006A1C42">
            <w:r w:rsidRPr="00705C2D">
              <w:t>Recommended</w:t>
            </w:r>
          </w:p>
        </w:tc>
        <w:tc>
          <w:tcPr>
            <w:tcW w:w="1985" w:type="dxa"/>
          </w:tcPr>
          <w:p w14:paraId="01B7D475" w14:textId="77777777" w:rsidR="00E25219" w:rsidRPr="00705C2D" w:rsidRDefault="00E25219" w:rsidP="006A1C42">
            <w:r w:rsidRPr="00705C2D">
              <w:t>Operational security practices</w:t>
            </w:r>
          </w:p>
        </w:tc>
        <w:tc>
          <w:tcPr>
            <w:tcW w:w="4846" w:type="dxa"/>
          </w:tcPr>
          <w:p w14:paraId="045E2AEE" w14:textId="77777777" w:rsidR="00E25219" w:rsidRPr="00705C2D" w:rsidRDefault="00E25219" w:rsidP="006A1C42">
            <w:r w:rsidRPr="00705C2D">
              <w:t>• Use de‑identified email addresses for system logins</w:t>
            </w:r>
            <w:r w:rsidRPr="00705C2D">
              <w:br/>
              <w:t>• Conduct regular data‑leak audits</w:t>
            </w:r>
            <w:r w:rsidRPr="00705C2D">
              <w:br/>
              <w:t>• Apply strict procedures when transferring patient files (encrypt attachments, verify recipients)</w:t>
            </w:r>
          </w:p>
        </w:tc>
      </w:tr>
      <w:tr w:rsidR="00E25219" w:rsidRPr="00705C2D" w14:paraId="10DBD503" w14:textId="77777777" w:rsidTr="00E25219">
        <w:tc>
          <w:tcPr>
            <w:tcW w:w="1809" w:type="dxa"/>
          </w:tcPr>
          <w:p w14:paraId="710BF3AA" w14:textId="77777777" w:rsidR="00E25219" w:rsidRPr="00705C2D" w:rsidRDefault="00E25219" w:rsidP="006A1C42">
            <w:r w:rsidRPr="00705C2D">
              <w:t>Optional</w:t>
            </w:r>
          </w:p>
        </w:tc>
        <w:tc>
          <w:tcPr>
            <w:tcW w:w="1985" w:type="dxa"/>
          </w:tcPr>
          <w:p w14:paraId="728FA6D8" w14:textId="77777777" w:rsidR="00E25219" w:rsidRPr="00705C2D" w:rsidRDefault="00E25219" w:rsidP="006A1C42">
            <w:r w:rsidRPr="00705C2D">
              <w:t>Advanced or variable implementation controls</w:t>
            </w:r>
          </w:p>
        </w:tc>
        <w:tc>
          <w:tcPr>
            <w:tcW w:w="4846" w:type="dxa"/>
          </w:tcPr>
          <w:p w14:paraId="0C00AC3A" w14:textId="77777777" w:rsidR="00E25219" w:rsidRPr="00705C2D" w:rsidRDefault="00E25219" w:rsidP="006A1C42">
            <w:r w:rsidRPr="00705C2D">
              <w:t>• Optional variations in credential or identity‑management systems</w:t>
            </w:r>
            <w:r w:rsidRPr="00705C2D">
              <w:br/>
              <w:t>• Advanced encryption workflows (e.g., user‑controlled keys) when required</w:t>
            </w:r>
          </w:p>
        </w:tc>
      </w:tr>
    </w:tbl>
    <w:p w14:paraId="5C878072" w14:textId="77777777" w:rsidR="00E25219" w:rsidRPr="00705C2D" w:rsidRDefault="00E25219" w:rsidP="00E25219"/>
    <w:p w14:paraId="379F4DA6" w14:textId="197D08F6" w:rsidR="00B17173" w:rsidRPr="00705C2D" w:rsidRDefault="00B17173" w:rsidP="000C1AAB">
      <w:pPr>
        <w:pStyle w:val="Heading1"/>
      </w:pPr>
      <w:bookmarkStart w:id="16" w:name="_Toc228182405"/>
      <w:r w:rsidRPr="00705C2D">
        <w:lastRenderedPageBreak/>
        <w:t>3.1 Devices</w:t>
      </w:r>
      <w:bookmarkEnd w:id="16"/>
    </w:p>
    <w:p w14:paraId="7572AB93" w14:textId="183AC0D8" w:rsidR="00B17173" w:rsidRPr="00705C2D" w:rsidRDefault="00B17173" w:rsidP="00B17173">
      <w:r w:rsidRPr="00705C2D">
        <w:t>Effective telehealth for CF care requires reliable, clinically appropriate devices for both patients and clinicians. Devices must support high</w:t>
      </w:r>
      <w:r w:rsidRPr="00705C2D">
        <w:noBreakHyphen/>
        <w:t>quality audio, video, and remote monitoring while meeting regulatory, privacy, and interoperability standards. Any recommended device must align with local guidelines and integrate, where possible, into the patient’s electronic health record (EHR).</w:t>
      </w:r>
      <w:r w:rsidRPr="00705C2D">
        <w:br/>
      </w:r>
      <w:r w:rsidRPr="00705C2D">
        <w:br/>
        <w:t>Core device requirements include the ability to facilitate clear communication, support remote assessments, and ensure consistent data capture. Baseline expectations include a private location, good</w:t>
      </w:r>
      <w:r w:rsidRPr="00705C2D">
        <w:noBreakHyphen/>
        <w:t>quality camera, echo</w:t>
      </w:r>
      <w:r w:rsidRPr="00705C2D">
        <w:noBreakHyphen/>
        <w:t>cancelling microphone or headset, and a stable device capable of connecting to necessary applications. Remote monitoring equipment—such as spirometers, pulse oximeters, or other vital</w:t>
      </w:r>
      <w:r w:rsidRPr="00705C2D">
        <w:noBreakHyphen/>
        <w:t>sign devices—must provide accurate, reproducible data and follow defined protocols for calibration, software updates, consumables, and cleaning.</w:t>
      </w:r>
    </w:p>
    <w:p w14:paraId="201AF54A" w14:textId="7F9E39A6" w:rsidR="000B04CE" w:rsidRPr="00705C2D" w:rsidRDefault="000B04CE" w:rsidP="00B17173">
      <w:r w:rsidRPr="00705C2D">
        <w:t>In some cases, two telecommunication tools may be necessary (particularly for monitoring home spirometry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2"/>
        <w:gridCol w:w="4979"/>
      </w:tblGrid>
      <w:tr w:rsidR="00B17173" w:rsidRPr="00705C2D" w14:paraId="68FDE486" w14:textId="77777777" w:rsidTr="00B17173">
        <w:tc>
          <w:tcPr>
            <w:tcW w:w="1809" w:type="dxa"/>
            <w:hideMark/>
          </w:tcPr>
          <w:p w14:paraId="4B2D112D" w14:textId="77777777" w:rsidR="00B17173" w:rsidRPr="00705C2D" w:rsidRDefault="00B17173" w:rsidP="00B17173">
            <w:r w:rsidRPr="00705C2D">
              <w:t>Level</w:t>
            </w:r>
          </w:p>
        </w:tc>
        <w:tc>
          <w:tcPr>
            <w:tcW w:w="1843" w:type="dxa"/>
            <w:hideMark/>
          </w:tcPr>
          <w:p w14:paraId="1AF8BF0C" w14:textId="77777777" w:rsidR="00B17173" w:rsidRPr="00705C2D" w:rsidRDefault="00B17173" w:rsidP="00B17173">
            <w:r w:rsidRPr="00705C2D">
              <w:t>Summary</w:t>
            </w:r>
          </w:p>
        </w:tc>
        <w:tc>
          <w:tcPr>
            <w:tcW w:w="4988" w:type="dxa"/>
            <w:hideMark/>
          </w:tcPr>
          <w:p w14:paraId="53C5DEB7" w14:textId="77777777" w:rsidR="00B17173" w:rsidRPr="00705C2D" w:rsidRDefault="00B17173" w:rsidP="00B17173">
            <w:r w:rsidRPr="00705C2D">
              <w:t>Detailed Content</w:t>
            </w:r>
          </w:p>
        </w:tc>
      </w:tr>
      <w:tr w:rsidR="00B17173" w:rsidRPr="00705C2D" w14:paraId="33A29D24" w14:textId="77777777" w:rsidTr="00B17173">
        <w:tc>
          <w:tcPr>
            <w:tcW w:w="1809" w:type="dxa"/>
            <w:hideMark/>
          </w:tcPr>
          <w:p w14:paraId="6F34E4E9" w14:textId="77777777" w:rsidR="00B17173" w:rsidRPr="00705C2D" w:rsidRDefault="00B17173" w:rsidP="00B17173">
            <w:r w:rsidRPr="00705C2D">
              <w:t>Highly Recommended</w:t>
            </w:r>
          </w:p>
        </w:tc>
        <w:tc>
          <w:tcPr>
            <w:tcW w:w="1843" w:type="dxa"/>
            <w:hideMark/>
          </w:tcPr>
          <w:p w14:paraId="5B3E9EA0" w14:textId="77777777" w:rsidR="00B17173" w:rsidRPr="00705C2D" w:rsidRDefault="00B17173" w:rsidP="00B17173">
            <w:r w:rsidRPr="00705C2D">
              <w:t>Essential communication &amp; compliance</w:t>
            </w:r>
          </w:p>
        </w:tc>
        <w:tc>
          <w:tcPr>
            <w:tcW w:w="4988" w:type="dxa"/>
            <w:hideMark/>
          </w:tcPr>
          <w:p w14:paraId="0C585431" w14:textId="1590CC20" w:rsidR="00B17173" w:rsidRPr="00705C2D" w:rsidRDefault="00B17173" w:rsidP="00B17173">
            <w:r w:rsidRPr="00705C2D">
              <w:t>• Quiet, private location for consultations</w:t>
            </w:r>
            <w:r w:rsidRPr="00705C2D">
              <w:br/>
              <w:t>• Functional camera and echo</w:t>
            </w:r>
            <w:r w:rsidRPr="00705C2D">
              <w:noBreakHyphen/>
              <w:t>cancelling microphone/headset</w:t>
            </w:r>
            <w:r w:rsidR="005B0F41" w:rsidRPr="00705C2D">
              <w:t xml:space="preserve">. (Note: </w:t>
            </w:r>
            <w:r w:rsidR="00EE7622" w:rsidRPr="00705C2D">
              <w:t>some</w:t>
            </w:r>
            <w:r w:rsidR="005B0F41" w:rsidRPr="00705C2D">
              <w:t xml:space="preserve"> laptop</w:t>
            </w:r>
            <w:r w:rsidR="00EE7622" w:rsidRPr="00705C2D">
              <w:t>s with</w:t>
            </w:r>
            <w:r w:rsidR="005B0F41" w:rsidRPr="00705C2D">
              <w:t xml:space="preserve"> built-in microphone and speaker can cause echo) </w:t>
            </w:r>
            <w:r w:rsidRPr="00705C2D">
              <w:br/>
              <w:t>• Smartphone with Bluetooth capability for patients</w:t>
            </w:r>
            <w:r w:rsidRPr="00705C2D">
              <w:br/>
              <w:t>• Device use aligned with clinical guidelines and privacy regulations</w:t>
            </w:r>
            <w:r w:rsidRPr="00705C2D">
              <w:br/>
              <w:t>• Ability to integrate monitored data into the EHR</w:t>
            </w:r>
          </w:p>
        </w:tc>
      </w:tr>
      <w:tr w:rsidR="00B17173" w:rsidRPr="00705C2D" w14:paraId="2E4C8764" w14:textId="77777777" w:rsidTr="00B17173">
        <w:tc>
          <w:tcPr>
            <w:tcW w:w="1809" w:type="dxa"/>
            <w:hideMark/>
          </w:tcPr>
          <w:p w14:paraId="0073308B" w14:textId="77777777" w:rsidR="00B17173" w:rsidRPr="00705C2D" w:rsidRDefault="00B17173" w:rsidP="00B17173">
            <w:r w:rsidRPr="00705C2D">
              <w:t>Recommended</w:t>
            </w:r>
          </w:p>
        </w:tc>
        <w:tc>
          <w:tcPr>
            <w:tcW w:w="1843" w:type="dxa"/>
            <w:hideMark/>
          </w:tcPr>
          <w:p w14:paraId="5E19FC64" w14:textId="77777777" w:rsidR="00B17173" w:rsidRPr="00705C2D" w:rsidRDefault="00B17173" w:rsidP="00B17173">
            <w:r w:rsidRPr="00705C2D">
              <w:t>Enhanced clinical setup</w:t>
            </w:r>
          </w:p>
        </w:tc>
        <w:tc>
          <w:tcPr>
            <w:tcW w:w="4988" w:type="dxa"/>
            <w:hideMark/>
          </w:tcPr>
          <w:p w14:paraId="25F47580" w14:textId="77777777" w:rsidR="00B17173" w:rsidRPr="00705C2D" w:rsidRDefault="00B17173" w:rsidP="00B17173">
            <w:r w:rsidRPr="00705C2D">
              <w:t>• Dedicated clinician workspace with external monitor and high</w:t>
            </w:r>
            <w:r w:rsidRPr="00705C2D">
              <w:noBreakHyphen/>
              <w:t>quality camera</w:t>
            </w:r>
            <w:r w:rsidRPr="00705C2D">
              <w:br/>
              <w:t>• Use of echo</w:t>
            </w:r>
            <w:r w:rsidRPr="00705C2D">
              <w:noBreakHyphen/>
              <w:t>cancelling desktop microphones where privacy permits</w:t>
            </w:r>
            <w:r w:rsidRPr="00705C2D">
              <w:br/>
              <w:t>• Tablet or laptop preferred for patients needing visual demonstrations</w:t>
            </w:r>
            <w:r w:rsidRPr="00705C2D">
              <w:br/>
              <w:t>• Bluetooth connectivity for peripherals (spirometers, oximeters)</w:t>
            </w:r>
          </w:p>
        </w:tc>
      </w:tr>
      <w:tr w:rsidR="00B17173" w:rsidRPr="00705C2D" w14:paraId="0A1C9023" w14:textId="77777777" w:rsidTr="00B17173">
        <w:tc>
          <w:tcPr>
            <w:tcW w:w="1809" w:type="dxa"/>
            <w:hideMark/>
          </w:tcPr>
          <w:p w14:paraId="48F2E3A4" w14:textId="77777777" w:rsidR="00B17173" w:rsidRPr="00705C2D" w:rsidRDefault="00B17173" w:rsidP="00B17173">
            <w:r w:rsidRPr="00705C2D">
              <w:t>Optional</w:t>
            </w:r>
          </w:p>
        </w:tc>
        <w:tc>
          <w:tcPr>
            <w:tcW w:w="1843" w:type="dxa"/>
            <w:hideMark/>
          </w:tcPr>
          <w:p w14:paraId="2913DC07" w14:textId="77777777" w:rsidR="00B17173" w:rsidRPr="00705C2D" w:rsidRDefault="00B17173" w:rsidP="00B17173">
            <w:r w:rsidRPr="00705C2D">
              <w:t>Advanced monitoring &amp; supplementary tools</w:t>
            </w:r>
          </w:p>
        </w:tc>
        <w:tc>
          <w:tcPr>
            <w:tcW w:w="4988" w:type="dxa"/>
            <w:hideMark/>
          </w:tcPr>
          <w:p w14:paraId="79ECBD06" w14:textId="77777777" w:rsidR="00B17173" w:rsidRPr="00705C2D" w:rsidRDefault="00B17173" w:rsidP="00B17173">
            <w:r w:rsidRPr="00705C2D">
              <w:t>• Home spirometers capable of FEV1, FVC, PEF with app</w:t>
            </w:r>
            <w:r w:rsidRPr="00705C2D">
              <w:noBreakHyphen/>
              <w:t>based uploads</w:t>
            </w:r>
            <w:r w:rsidRPr="00705C2D">
              <w:br/>
              <w:t>• Digital peak</w:t>
            </w:r>
            <w:r w:rsidRPr="00705C2D">
              <w:noBreakHyphen/>
              <w:t>flow meters for simplified lung</w:t>
            </w:r>
            <w:r w:rsidRPr="00705C2D">
              <w:noBreakHyphen/>
              <w:t>function monitoring</w:t>
            </w:r>
            <w:r w:rsidRPr="00705C2D">
              <w:br/>
              <w:t>• Pulse oximeters (standalone or integrated)</w:t>
            </w:r>
            <w:r w:rsidRPr="00705C2D">
              <w:br/>
            </w:r>
            <w:r w:rsidRPr="00705C2D">
              <w:lastRenderedPageBreak/>
              <w:t>• Vital</w:t>
            </w:r>
            <w:r w:rsidRPr="00705C2D">
              <w:noBreakHyphen/>
              <w:t>sign wearables, weight scales, or multiparameter RPM systems</w:t>
            </w:r>
            <w:r w:rsidRPr="00705C2D">
              <w:br/>
              <w:t>• Digital diaries, PROMs, or AI</w:t>
            </w:r>
            <w:r w:rsidRPr="00705C2D">
              <w:noBreakHyphen/>
              <w:t>supported documentation tools</w:t>
            </w:r>
          </w:p>
        </w:tc>
      </w:tr>
    </w:tbl>
    <w:p w14:paraId="04D2330F" w14:textId="77777777" w:rsidR="00B17173" w:rsidRPr="00705C2D" w:rsidRDefault="00B17173" w:rsidP="00B17173"/>
    <w:p w14:paraId="53029FEB" w14:textId="18FC1111" w:rsidR="008B058F" w:rsidRPr="00705C2D" w:rsidRDefault="008B058F" w:rsidP="000C1AAB">
      <w:pPr>
        <w:pStyle w:val="Heading1"/>
      </w:pPr>
      <w:bookmarkStart w:id="17" w:name="_Toc228182406"/>
      <w:r w:rsidRPr="00705C2D">
        <w:t>3.2 Data Types &amp; Quality</w:t>
      </w:r>
      <w:bookmarkEnd w:id="17"/>
    </w:p>
    <w:p w14:paraId="26BDD4A9" w14:textId="09E3E760" w:rsidR="008B058F" w:rsidRPr="00705C2D" w:rsidRDefault="008B058F" w:rsidP="008B058F">
      <w:r w:rsidRPr="00705C2D">
        <w:t>High</w:t>
      </w:r>
      <w:r w:rsidRPr="00705C2D">
        <w:noBreakHyphen/>
        <w:t>quality data is fundamental to safe and effective remote monitoring in CF care. Telehealth workflows must ensure that all remotely collected data is accurate, clinically meaningful, and compatible with established healthcare information standards. Standardised data models reduce ambiguity and support consistent interpretation across the multidisciplinary team. Equally, legal and regulatory requirements—including GDPR, the EU Health Data Space framework, and interoperability standards such as HL7 FHIR—must be incorporated into every stage of data handling.</w:t>
      </w:r>
      <w:r w:rsidRPr="00705C2D">
        <w:br/>
      </w:r>
      <w:r w:rsidRPr="00705C2D">
        <w:br/>
        <w:t>Robust data governance ensures that remote monitoring adds clinical value rather than administrative burden. Centres should maintain clear processes for validating incoming data, identifying anomalies, and documenting clinical decisions based on remote inputs. Centres engaging in research, registry participation, or secondary use of health data must ensure that all processing activities have an appropriate legal basis and have been reviewed by the relevant Data Protection Officer (DPO). Contingency planning—such as backup procedures for standalone systems—is essential to maintaining data integrity and continuity of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3"/>
        <w:gridCol w:w="4838"/>
      </w:tblGrid>
      <w:tr w:rsidR="008B058F" w:rsidRPr="00705C2D" w14:paraId="7B3554FF" w14:textId="77777777" w:rsidTr="00B018DE">
        <w:tc>
          <w:tcPr>
            <w:tcW w:w="1809" w:type="dxa"/>
            <w:hideMark/>
          </w:tcPr>
          <w:p w14:paraId="5B942C83" w14:textId="77777777" w:rsidR="008B058F" w:rsidRPr="00705C2D" w:rsidRDefault="008B058F" w:rsidP="008B058F">
            <w:r w:rsidRPr="00705C2D">
              <w:t>Level</w:t>
            </w:r>
          </w:p>
        </w:tc>
        <w:tc>
          <w:tcPr>
            <w:tcW w:w="1985" w:type="dxa"/>
            <w:hideMark/>
          </w:tcPr>
          <w:p w14:paraId="5E7C849D" w14:textId="77777777" w:rsidR="008B058F" w:rsidRPr="00705C2D" w:rsidRDefault="008B058F" w:rsidP="008B058F">
            <w:r w:rsidRPr="00705C2D">
              <w:t>Summary</w:t>
            </w:r>
          </w:p>
        </w:tc>
        <w:tc>
          <w:tcPr>
            <w:tcW w:w="4846" w:type="dxa"/>
            <w:hideMark/>
          </w:tcPr>
          <w:p w14:paraId="69F871DF" w14:textId="77777777" w:rsidR="008B058F" w:rsidRPr="00705C2D" w:rsidRDefault="008B058F" w:rsidP="008B058F">
            <w:r w:rsidRPr="00705C2D">
              <w:t>Detailed Content</w:t>
            </w:r>
          </w:p>
        </w:tc>
      </w:tr>
      <w:tr w:rsidR="008B058F" w:rsidRPr="00705C2D" w14:paraId="596E2D2C" w14:textId="77777777" w:rsidTr="00B018DE">
        <w:tc>
          <w:tcPr>
            <w:tcW w:w="1809" w:type="dxa"/>
            <w:hideMark/>
          </w:tcPr>
          <w:p w14:paraId="480AA46F" w14:textId="77777777" w:rsidR="008B058F" w:rsidRPr="00705C2D" w:rsidRDefault="008B058F" w:rsidP="008B058F">
            <w:r w:rsidRPr="00705C2D">
              <w:t>Highly Recommended</w:t>
            </w:r>
          </w:p>
        </w:tc>
        <w:tc>
          <w:tcPr>
            <w:tcW w:w="1985" w:type="dxa"/>
            <w:hideMark/>
          </w:tcPr>
          <w:p w14:paraId="5B532272" w14:textId="77777777" w:rsidR="008B058F" w:rsidRPr="00705C2D" w:rsidRDefault="008B058F" w:rsidP="008B058F">
            <w:r w:rsidRPr="00705C2D">
              <w:t>Core data principles</w:t>
            </w:r>
          </w:p>
        </w:tc>
        <w:tc>
          <w:tcPr>
            <w:tcW w:w="4846" w:type="dxa"/>
            <w:hideMark/>
          </w:tcPr>
          <w:p w14:paraId="1F5D4D60" w14:textId="77777777" w:rsidR="008B058F" w:rsidRPr="00705C2D" w:rsidRDefault="008B058F" w:rsidP="008B058F">
            <w:r w:rsidRPr="00705C2D">
              <w:t>• Use standardised data models (e.g., SNOMED CT)</w:t>
            </w:r>
            <w:r w:rsidRPr="00705C2D">
              <w:br/>
              <w:t>• Ensure GDPR, EU Health Data Space, and HL7 FHIR compliance</w:t>
            </w:r>
            <w:r w:rsidRPr="00705C2D">
              <w:br/>
              <w:t>• Maintain secure, validated pathways for incoming device data</w:t>
            </w:r>
          </w:p>
        </w:tc>
      </w:tr>
      <w:tr w:rsidR="008B058F" w:rsidRPr="00705C2D" w14:paraId="41ADC1FB" w14:textId="77777777" w:rsidTr="00B018DE">
        <w:tc>
          <w:tcPr>
            <w:tcW w:w="1809" w:type="dxa"/>
            <w:hideMark/>
          </w:tcPr>
          <w:p w14:paraId="72C7CDE5" w14:textId="77777777" w:rsidR="008B058F" w:rsidRPr="00705C2D" w:rsidRDefault="008B058F" w:rsidP="008B058F">
            <w:r w:rsidRPr="00705C2D">
              <w:t>Recommended</w:t>
            </w:r>
          </w:p>
        </w:tc>
        <w:tc>
          <w:tcPr>
            <w:tcW w:w="1985" w:type="dxa"/>
            <w:hideMark/>
          </w:tcPr>
          <w:p w14:paraId="7632AD05" w14:textId="77777777" w:rsidR="008B058F" w:rsidRPr="00705C2D" w:rsidRDefault="008B058F" w:rsidP="008B058F">
            <w:r w:rsidRPr="00705C2D">
              <w:t>Data governance &amp; oversight</w:t>
            </w:r>
          </w:p>
        </w:tc>
        <w:tc>
          <w:tcPr>
            <w:tcW w:w="4846" w:type="dxa"/>
            <w:hideMark/>
          </w:tcPr>
          <w:p w14:paraId="11248923" w14:textId="77777777" w:rsidR="008B058F" w:rsidRPr="00705C2D" w:rsidRDefault="008B058F" w:rsidP="008B058F">
            <w:r w:rsidRPr="00705C2D">
              <w:t>• Consult Data Protection Officer before secondary data use</w:t>
            </w:r>
            <w:r w:rsidRPr="00705C2D">
              <w:br/>
              <w:t>• Confirm legal basis and transparency requirements for processing</w:t>
            </w:r>
            <w:r w:rsidRPr="00705C2D">
              <w:br/>
              <w:t>• Comply with national data protection laws alongside GDPR</w:t>
            </w:r>
          </w:p>
        </w:tc>
      </w:tr>
      <w:tr w:rsidR="008B058F" w:rsidRPr="00705C2D" w14:paraId="74F4B9D6" w14:textId="77777777" w:rsidTr="00B018DE">
        <w:tc>
          <w:tcPr>
            <w:tcW w:w="1809" w:type="dxa"/>
            <w:hideMark/>
          </w:tcPr>
          <w:p w14:paraId="41F791DA" w14:textId="77777777" w:rsidR="008B058F" w:rsidRPr="00705C2D" w:rsidRDefault="008B058F" w:rsidP="008B058F">
            <w:r w:rsidRPr="00705C2D">
              <w:t>Optional</w:t>
            </w:r>
          </w:p>
        </w:tc>
        <w:tc>
          <w:tcPr>
            <w:tcW w:w="1985" w:type="dxa"/>
            <w:hideMark/>
          </w:tcPr>
          <w:p w14:paraId="51A31F9A" w14:textId="77777777" w:rsidR="008B058F" w:rsidRPr="00705C2D" w:rsidRDefault="008B058F" w:rsidP="008B058F">
            <w:r w:rsidRPr="00705C2D">
              <w:t>Contingency planning</w:t>
            </w:r>
          </w:p>
        </w:tc>
        <w:tc>
          <w:tcPr>
            <w:tcW w:w="4846" w:type="dxa"/>
            <w:hideMark/>
          </w:tcPr>
          <w:p w14:paraId="7A0034C1" w14:textId="77777777" w:rsidR="008B058F" w:rsidRPr="00705C2D" w:rsidRDefault="008B058F" w:rsidP="008B058F">
            <w:r w:rsidRPr="00705C2D">
              <w:t>• Maintain backup systems for standalone documentation tools</w:t>
            </w:r>
            <w:r w:rsidRPr="00705C2D">
              <w:br/>
            </w:r>
            <w:r w:rsidRPr="00705C2D">
              <w:lastRenderedPageBreak/>
              <w:t>• Implement disaster</w:t>
            </w:r>
            <w:r w:rsidRPr="00705C2D">
              <w:noBreakHyphen/>
              <w:t>recovery plans to protect continuity of care</w:t>
            </w:r>
          </w:p>
        </w:tc>
      </w:tr>
    </w:tbl>
    <w:p w14:paraId="6B8A2BF8" w14:textId="77777777" w:rsidR="008B058F" w:rsidRPr="00705C2D" w:rsidRDefault="008B058F" w:rsidP="008B058F"/>
    <w:p w14:paraId="304C9091" w14:textId="76857474" w:rsidR="00C7327D" w:rsidRPr="00705C2D" w:rsidRDefault="00C7327D" w:rsidP="000C1AAB">
      <w:pPr>
        <w:pStyle w:val="Heading1"/>
      </w:pPr>
      <w:bookmarkStart w:id="18" w:name="_Toc228182407"/>
      <w:r w:rsidRPr="00705C2D">
        <w:t>3.3 Interoperability &amp; Information Flow</w:t>
      </w:r>
      <w:bookmarkEnd w:id="18"/>
    </w:p>
    <w:p w14:paraId="0452E1F9" w14:textId="77777777" w:rsidR="00C7327D" w:rsidRPr="00705C2D" w:rsidRDefault="00C7327D" w:rsidP="00C7327D">
      <w:r w:rsidRPr="00705C2D">
        <w:t>Effective interoperability and information flow are essential for ensuring that remote monitoring data contributes meaningfully to clinical decision</w:t>
      </w:r>
      <w:r w:rsidRPr="00705C2D">
        <w:noBreakHyphen/>
        <w:t>making. Telehealth systems should avoid creating data silos; instead, all remotely collected data should integrate seamlessly into the patient’s primary electronic health record (EHR). Integration supports a single source of truth, reduces manual transcription errors, and ensures that the full clinical history remains visible to the multidisciplinary team.</w:t>
      </w:r>
      <w:r w:rsidRPr="00705C2D">
        <w:br/>
      </w:r>
      <w:r w:rsidRPr="00705C2D">
        <w:br/>
        <w:t>Interoperability requires alignment with established standards, including structured coding systems, coordinated device update procedures, and clear workflows for equipment calibration and consumable replacement. Centres must document predictable processes for technical support, ensuring clinicians and patients know how to escalate issues that arise outside standard operating procedures.</w:t>
      </w:r>
      <w:r w:rsidRPr="00705C2D">
        <w:br/>
      </w:r>
      <w:r w:rsidRPr="00705C2D">
        <w:br/>
        <w:t>Future</w:t>
      </w:r>
      <w:r w:rsidRPr="00705C2D">
        <w:noBreakHyphen/>
        <w:t>facing interoperability may include advanced analytics or AI</w:t>
      </w:r>
      <w:r w:rsidRPr="00705C2D">
        <w:noBreakHyphen/>
        <w:t>enhanced decision</w:t>
      </w:r>
      <w:r w:rsidRPr="00705C2D">
        <w:noBreakHyphen/>
        <w:t>support tools, but these should always supplement—not replace—clinical judgement. AI systems must be validated, transparent, and used cautiously within defined governance frameworks.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6"/>
        <w:gridCol w:w="4555"/>
      </w:tblGrid>
      <w:tr w:rsidR="00C7327D" w:rsidRPr="00705C2D" w14:paraId="53183FCA" w14:textId="77777777" w:rsidTr="00C7327D">
        <w:tc>
          <w:tcPr>
            <w:tcW w:w="1809" w:type="dxa"/>
            <w:hideMark/>
          </w:tcPr>
          <w:p w14:paraId="7AB3B205" w14:textId="77777777" w:rsidR="00C7327D" w:rsidRPr="00705C2D" w:rsidRDefault="00C7327D" w:rsidP="00C7327D">
            <w:r w:rsidRPr="00705C2D">
              <w:t>Level</w:t>
            </w:r>
          </w:p>
        </w:tc>
        <w:tc>
          <w:tcPr>
            <w:tcW w:w="2268" w:type="dxa"/>
            <w:hideMark/>
          </w:tcPr>
          <w:p w14:paraId="5AC15C3B" w14:textId="77777777" w:rsidR="00C7327D" w:rsidRPr="00705C2D" w:rsidRDefault="00C7327D" w:rsidP="00C7327D">
            <w:r w:rsidRPr="00705C2D">
              <w:t>Summary</w:t>
            </w:r>
          </w:p>
        </w:tc>
        <w:tc>
          <w:tcPr>
            <w:tcW w:w="4563" w:type="dxa"/>
            <w:hideMark/>
          </w:tcPr>
          <w:p w14:paraId="46FC2B5C" w14:textId="77777777" w:rsidR="00C7327D" w:rsidRPr="00705C2D" w:rsidRDefault="00C7327D" w:rsidP="00C7327D">
            <w:r w:rsidRPr="00705C2D">
              <w:t>Detailed Content</w:t>
            </w:r>
          </w:p>
        </w:tc>
      </w:tr>
      <w:tr w:rsidR="00C7327D" w:rsidRPr="00705C2D" w14:paraId="10EF9939" w14:textId="77777777" w:rsidTr="00C7327D">
        <w:tc>
          <w:tcPr>
            <w:tcW w:w="1809" w:type="dxa"/>
            <w:hideMark/>
          </w:tcPr>
          <w:p w14:paraId="6453FA47" w14:textId="77777777" w:rsidR="00C7327D" w:rsidRPr="00705C2D" w:rsidRDefault="00C7327D" w:rsidP="00C7327D">
            <w:r w:rsidRPr="00705C2D">
              <w:t>Highly Recommended</w:t>
            </w:r>
          </w:p>
        </w:tc>
        <w:tc>
          <w:tcPr>
            <w:tcW w:w="2268" w:type="dxa"/>
            <w:hideMark/>
          </w:tcPr>
          <w:p w14:paraId="04B56417" w14:textId="77777777" w:rsidR="00C7327D" w:rsidRPr="00705C2D" w:rsidRDefault="00C7327D" w:rsidP="00C7327D">
            <w:r w:rsidRPr="00705C2D">
              <w:t>EHR integration &amp; workflow clarity</w:t>
            </w:r>
          </w:p>
        </w:tc>
        <w:tc>
          <w:tcPr>
            <w:tcW w:w="4563" w:type="dxa"/>
            <w:hideMark/>
          </w:tcPr>
          <w:p w14:paraId="3DCD8838" w14:textId="77777777" w:rsidR="00C7327D" w:rsidRPr="00705C2D" w:rsidRDefault="00C7327D" w:rsidP="00C7327D">
            <w:r w:rsidRPr="00705C2D">
              <w:t>• Avoid data silos by integrating remote data into the EHR</w:t>
            </w:r>
            <w:r w:rsidRPr="00705C2D">
              <w:br/>
              <w:t>• Maintain procedures for device calibration, updates, and consumables</w:t>
            </w:r>
            <w:r w:rsidRPr="00705C2D">
              <w:br/>
              <w:t>• Provide clear documentation for handling technical issues</w:t>
            </w:r>
          </w:p>
        </w:tc>
      </w:tr>
      <w:tr w:rsidR="00C7327D" w:rsidRPr="00705C2D" w14:paraId="2A86594F" w14:textId="77777777" w:rsidTr="00C7327D">
        <w:tc>
          <w:tcPr>
            <w:tcW w:w="1809" w:type="dxa"/>
            <w:hideMark/>
          </w:tcPr>
          <w:p w14:paraId="52D5E11E" w14:textId="77777777" w:rsidR="00C7327D" w:rsidRPr="00705C2D" w:rsidRDefault="00C7327D" w:rsidP="00C7327D">
            <w:r w:rsidRPr="00705C2D">
              <w:t>Recommended</w:t>
            </w:r>
          </w:p>
        </w:tc>
        <w:tc>
          <w:tcPr>
            <w:tcW w:w="2268" w:type="dxa"/>
            <w:hideMark/>
          </w:tcPr>
          <w:p w14:paraId="722A2BB0" w14:textId="77777777" w:rsidR="00C7327D" w:rsidRPr="00705C2D" w:rsidRDefault="00C7327D" w:rsidP="00C7327D">
            <w:r w:rsidRPr="00705C2D">
              <w:t>Standardised centre</w:t>
            </w:r>
            <w:r w:rsidRPr="00705C2D">
              <w:noBreakHyphen/>
              <w:t>level processes</w:t>
            </w:r>
          </w:p>
        </w:tc>
        <w:tc>
          <w:tcPr>
            <w:tcW w:w="4563" w:type="dxa"/>
            <w:hideMark/>
          </w:tcPr>
          <w:p w14:paraId="56DAFF70" w14:textId="77777777" w:rsidR="00C7327D" w:rsidRPr="00705C2D" w:rsidRDefault="00C7327D" w:rsidP="00C7327D">
            <w:r w:rsidRPr="00705C2D">
              <w:t>• Develop detailed SOPs for remote consultation workflows</w:t>
            </w:r>
            <w:r w:rsidRPr="00705C2D">
              <w:br/>
              <w:t>• Coordinate device software updates to avoid recording discrepancies</w:t>
            </w:r>
            <w:r w:rsidRPr="00705C2D">
              <w:br/>
              <w:t>• Create structured escalation pathways for technical problems</w:t>
            </w:r>
          </w:p>
        </w:tc>
      </w:tr>
      <w:tr w:rsidR="00C7327D" w:rsidRPr="00705C2D" w14:paraId="502D5C33" w14:textId="77777777" w:rsidTr="00C7327D">
        <w:tc>
          <w:tcPr>
            <w:tcW w:w="1809" w:type="dxa"/>
            <w:hideMark/>
          </w:tcPr>
          <w:p w14:paraId="7F1CFB92" w14:textId="77777777" w:rsidR="00C7327D" w:rsidRPr="00705C2D" w:rsidRDefault="00C7327D" w:rsidP="00C7327D">
            <w:r w:rsidRPr="00705C2D">
              <w:t>Optional</w:t>
            </w:r>
          </w:p>
        </w:tc>
        <w:tc>
          <w:tcPr>
            <w:tcW w:w="2268" w:type="dxa"/>
            <w:hideMark/>
          </w:tcPr>
          <w:p w14:paraId="15EC0202" w14:textId="77777777" w:rsidR="00C7327D" w:rsidRPr="00705C2D" w:rsidRDefault="00C7327D" w:rsidP="00C7327D">
            <w:r w:rsidRPr="00705C2D">
              <w:t>Future</w:t>
            </w:r>
            <w:r w:rsidRPr="00705C2D">
              <w:noBreakHyphen/>
              <w:t>facing AI and analytics</w:t>
            </w:r>
          </w:p>
        </w:tc>
        <w:tc>
          <w:tcPr>
            <w:tcW w:w="4563" w:type="dxa"/>
            <w:hideMark/>
          </w:tcPr>
          <w:p w14:paraId="1A15C4D8" w14:textId="77777777" w:rsidR="00C7327D" w:rsidRPr="00705C2D" w:rsidRDefault="00C7327D" w:rsidP="00C7327D">
            <w:r w:rsidRPr="00705C2D">
              <w:t>• Use AI for trend analysis, early</w:t>
            </w:r>
            <w:r w:rsidRPr="00705C2D">
              <w:noBreakHyphen/>
              <w:t>warning alerts, or multilingual support</w:t>
            </w:r>
            <w:r w:rsidRPr="00705C2D">
              <w:br/>
            </w:r>
            <w:r w:rsidRPr="00705C2D">
              <w:lastRenderedPageBreak/>
              <w:t>• Recognise AI as a supplementary tool—not a replacement for clinicians</w:t>
            </w:r>
          </w:p>
        </w:tc>
      </w:tr>
    </w:tbl>
    <w:p w14:paraId="651C3AFB" w14:textId="77777777" w:rsidR="00E25219" w:rsidRPr="00705C2D" w:rsidRDefault="00E25219"/>
    <w:p w14:paraId="21C9371C" w14:textId="77777777" w:rsidR="003A672B" w:rsidRPr="00705C2D" w:rsidRDefault="003A672B">
      <w:pPr>
        <w:rPr>
          <w:b/>
          <w:bCs/>
        </w:rPr>
      </w:pPr>
      <w:r w:rsidRPr="00705C2D">
        <w:rPr>
          <w:b/>
          <w:bCs/>
        </w:rPr>
        <w:br w:type="page"/>
      </w:r>
    </w:p>
    <w:p w14:paraId="554BDE38" w14:textId="0DB149A1" w:rsidR="003A672B" w:rsidRPr="00705C2D" w:rsidRDefault="003A672B" w:rsidP="000C1AAB">
      <w:pPr>
        <w:pStyle w:val="Heading1"/>
      </w:pPr>
      <w:bookmarkStart w:id="19" w:name="_Toc228182408"/>
      <w:r w:rsidRPr="00705C2D">
        <w:lastRenderedPageBreak/>
        <w:t>4.1 Additional User Needs</w:t>
      </w:r>
      <w:bookmarkEnd w:id="19"/>
    </w:p>
    <w:p w14:paraId="5A98FF01" w14:textId="5782AD6F" w:rsidR="003A672B" w:rsidRPr="00705C2D" w:rsidRDefault="003A672B" w:rsidP="003A672B">
      <w:r w:rsidRPr="00705C2D">
        <w:t>Additional user needs in telehealth for CF care extend beyond technical readiness. Effective remote care must also consider a patient's clinical, psychosocial, environmental, and accessibility requirements. Identifying these needs early helps to ensure that telehealth remains safe, equitable, and clinically meaningful.</w:t>
      </w:r>
      <w:r w:rsidRPr="00705C2D">
        <w:br/>
      </w:r>
      <w:r w:rsidRPr="00705C2D">
        <w:br/>
        <w:t>CF care requires the ability to assess respiratory status, demonstrate airway</w:t>
      </w:r>
      <w:r w:rsidRPr="00705C2D">
        <w:noBreakHyphen/>
        <w:t>clearance techniques, review medication use, support dietary management, and enable sensitive psychosocial discussions. Telehealth should account for variability in home environments, differences in digital literacy, and the need for personalised preparation to ensure each consultation is productive. Thoughtful anticipation of user needs reduces missed clinical cues and enhances patient engagement.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266"/>
        <w:gridCol w:w="4272"/>
      </w:tblGrid>
      <w:tr w:rsidR="003A672B" w:rsidRPr="00705C2D" w14:paraId="6542B02B" w14:textId="77777777" w:rsidTr="003A672B">
        <w:tc>
          <w:tcPr>
            <w:tcW w:w="2093" w:type="dxa"/>
            <w:hideMark/>
          </w:tcPr>
          <w:p w14:paraId="3A7BC273" w14:textId="77777777" w:rsidR="003A672B" w:rsidRPr="00705C2D" w:rsidRDefault="003A672B" w:rsidP="003A672B">
            <w:r w:rsidRPr="00705C2D">
              <w:t>Level</w:t>
            </w:r>
          </w:p>
        </w:tc>
        <w:tc>
          <w:tcPr>
            <w:tcW w:w="2268" w:type="dxa"/>
            <w:hideMark/>
          </w:tcPr>
          <w:p w14:paraId="38DF7DA2" w14:textId="77777777" w:rsidR="003A672B" w:rsidRPr="00705C2D" w:rsidRDefault="003A672B" w:rsidP="003A672B">
            <w:r w:rsidRPr="00705C2D">
              <w:t>Summary</w:t>
            </w:r>
          </w:p>
        </w:tc>
        <w:tc>
          <w:tcPr>
            <w:tcW w:w="4279" w:type="dxa"/>
            <w:hideMark/>
          </w:tcPr>
          <w:p w14:paraId="70E3911B" w14:textId="77777777" w:rsidR="003A672B" w:rsidRPr="00705C2D" w:rsidRDefault="003A672B" w:rsidP="003A672B">
            <w:r w:rsidRPr="00705C2D">
              <w:t>Detailed Content</w:t>
            </w:r>
          </w:p>
        </w:tc>
      </w:tr>
      <w:tr w:rsidR="003A672B" w:rsidRPr="00705C2D" w14:paraId="034699D0" w14:textId="77777777" w:rsidTr="003A672B">
        <w:tc>
          <w:tcPr>
            <w:tcW w:w="2093" w:type="dxa"/>
            <w:hideMark/>
          </w:tcPr>
          <w:p w14:paraId="4A6D4919" w14:textId="77777777" w:rsidR="003A672B" w:rsidRPr="00705C2D" w:rsidRDefault="003A672B" w:rsidP="003A672B">
            <w:r w:rsidRPr="00705C2D">
              <w:t>Highly Recommended</w:t>
            </w:r>
          </w:p>
        </w:tc>
        <w:tc>
          <w:tcPr>
            <w:tcW w:w="2268" w:type="dxa"/>
            <w:hideMark/>
          </w:tcPr>
          <w:p w14:paraId="5D9A1800" w14:textId="77777777" w:rsidR="003A672B" w:rsidRPr="00705C2D" w:rsidRDefault="003A672B" w:rsidP="003A672B">
            <w:r w:rsidRPr="00705C2D">
              <w:t>Core CF telehealth readiness</w:t>
            </w:r>
          </w:p>
        </w:tc>
        <w:tc>
          <w:tcPr>
            <w:tcW w:w="4279" w:type="dxa"/>
            <w:hideMark/>
          </w:tcPr>
          <w:p w14:paraId="7B97A29F" w14:textId="77777777" w:rsidR="003A672B" w:rsidRPr="00705C2D" w:rsidRDefault="003A672B" w:rsidP="003A672B">
            <w:r w:rsidRPr="00705C2D">
              <w:t>• Assess ability to participate in respiratory evaluation (quiet space, camera positioning, earphones)</w:t>
            </w:r>
            <w:r w:rsidRPr="00705C2D">
              <w:br/>
              <w:t>• Confirm home spirometry readiness (battery, calibration, reproducible blows, upload process)</w:t>
            </w:r>
            <w:r w:rsidRPr="00705C2D">
              <w:br/>
              <w:t>• Review inhaled</w:t>
            </w:r>
            <w:r w:rsidRPr="00705C2D">
              <w:noBreakHyphen/>
              <w:t>therapy technique and cleaning practices for equipment</w:t>
            </w:r>
            <w:r w:rsidRPr="00705C2D">
              <w:br/>
              <w:t>• Support dietetic needs (enzymes available, food</w:t>
            </w:r>
            <w:r w:rsidRPr="00705C2D">
              <w:noBreakHyphen/>
              <w:t>log sharing)</w:t>
            </w:r>
            <w:r w:rsidRPr="00705C2D">
              <w:br/>
              <w:t>• Ensure privacy for psychosocial discussions</w:t>
            </w:r>
          </w:p>
        </w:tc>
      </w:tr>
      <w:tr w:rsidR="003A672B" w:rsidRPr="00705C2D" w14:paraId="326F80CB" w14:textId="77777777" w:rsidTr="003A672B">
        <w:tc>
          <w:tcPr>
            <w:tcW w:w="2093" w:type="dxa"/>
            <w:hideMark/>
          </w:tcPr>
          <w:p w14:paraId="46877157" w14:textId="77777777" w:rsidR="003A672B" w:rsidRPr="00705C2D" w:rsidRDefault="003A672B" w:rsidP="003A672B">
            <w:r w:rsidRPr="00705C2D">
              <w:t>Recommended</w:t>
            </w:r>
          </w:p>
        </w:tc>
        <w:tc>
          <w:tcPr>
            <w:tcW w:w="2268" w:type="dxa"/>
            <w:hideMark/>
          </w:tcPr>
          <w:p w14:paraId="5513F9F6" w14:textId="77777777" w:rsidR="003A672B" w:rsidRPr="00705C2D" w:rsidRDefault="003A672B" w:rsidP="003A672B">
            <w:r w:rsidRPr="00705C2D">
              <w:t>Structured inclusion &amp; accessibility</w:t>
            </w:r>
          </w:p>
        </w:tc>
        <w:tc>
          <w:tcPr>
            <w:tcW w:w="4279" w:type="dxa"/>
            <w:hideMark/>
          </w:tcPr>
          <w:p w14:paraId="7A693DA9" w14:textId="77777777" w:rsidR="003A672B" w:rsidRPr="00705C2D" w:rsidRDefault="003A672B" w:rsidP="003A672B">
            <w:r w:rsidRPr="00705C2D">
              <w:t>• Provide language support (interpreters, translated materials)</w:t>
            </w:r>
            <w:r w:rsidRPr="00705C2D">
              <w:br/>
              <w:t>• Offer sensory accommodations (captions, visual aids)</w:t>
            </w:r>
            <w:r w:rsidRPr="00705C2D">
              <w:br/>
              <w:t>• Use pre</w:t>
            </w:r>
            <w:r w:rsidRPr="00705C2D">
              <w:noBreakHyphen/>
              <w:t>visit checklists and micro</w:t>
            </w:r>
            <w:r w:rsidRPr="00705C2D">
              <w:noBreakHyphen/>
              <w:t>learning resources to prepare patients</w:t>
            </w:r>
          </w:p>
        </w:tc>
      </w:tr>
      <w:tr w:rsidR="003A672B" w:rsidRPr="00705C2D" w14:paraId="569BC337" w14:textId="77777777" w:rsidTr="003A672B">
        <w:tc>
          <w:tcPr>
            <w:tcW w:w="2093" w:type="dxa"/>
            <w:hideMark/>
          </w:tcPr>
          <w:p w14:paraId="7AACC415" w14:textId="77777777" w:rsidR="003A672B" w:rsidRPr="00705C2D" w:rsidRDefault="003A672B" w:rsidP="003A672B">
            <w:r w:rsidRPr="00705C2D">
              <w:t>Optional</w:t>
            </w:r>
          </w:p>
        </w:tc>
        <w:tc>
          <w:tcPr>
            <w:tcW w:w="2268" w:type="dxa"/>
            <w:hideMark/>
          </w:tcPr>
          <w:p w14:paraId="50EB5FC0" w14:textId="77777777" w:rsidR="003A672B" w:rsidRPr="00705C2D" w:rsidRDefault="003A672B" w:rsidP="003A672B">
            <w:r w:rsidRPr="00705C2D">
              <w:t>Advanced human</w:t>
            </w:r>
            <w:r w:rsidRPr="00705C2D">
              <w:noBreakHyphen/>
              <w:t>factors &amp; accessibility optimisation</w:t>
            </w:r>
          </w:p>
        </w:tc>
        <w:tc>
          <w:tcPr>
            <w:tcW w:w="4279" w:type="dxa"/>
            <w:hideMark/>
          </w:tcPr>
          <w:p w14:paraId="70C527FB" w14:textId="77777777" w:rsidR="003A672B" w:rsidRPr="00705C2D" w:rsidRDefault="003A672B" w:rsidP="003A672B">
            <w:r w:rsidRPr="00705C2D">
              <w:t>• Conduct accessibility audits (e.g., WCAG 2.1 AA alignment)</w:t>
            </w:r>
            <w:r w:rsidRPr="00705C2D">
              <w:br/>
              <w:t>• Provide alternative authentication routes for users without smartphones</w:t>
            </w:r>
            <w:r w:rsidRPr="00705C2D">
              <w:br/>
              <w:t>• Use adaptive video settings to stabilise low</w:t>
            </w:r>
            <w:r w:rsidRPr="00705C2D">
              <w:noBreakHyphen/>
              <w:t>bandwidth respiratory assessments</w:t>
            </w:r>
          </w:p>
        </w:tc>
      </w:tr>
    </w:tbl>
    <w:p w14:paraId="309CF8B6" w14:textId="77777777" w:rsidR="003A672B" w:rsidRPr="00705C2D" w:rsidRDefault="003A672B" w:rsidP="003A672B"/>
    <w:p w14:paraId="2C807A0C" w14:textId="07FBF8EB" w:rsidR="00440728" w:rsidRPr="00705C2D" w:rsidRDefault="00440728" w:rsidP="00440728">
      <w:pPr>
        <w:pStyle w:val="Heading1"/>
      </w:pPr>
      <w:bookmarkStart w:id="20" w:name="_Toc228182409"/>
      <w:r w:rsidRPr="00705C2D">
        <w:lastRenderedPageBreak/>
        <w:t>4.2 Digital Divide</w:t>
      </w:r>
      <w:bookmarkEnd w:id="20"/>
    </w:p>
    <w:p w14:paraId="57D6F054" w14:textId="1B124791" w:rsidR="00440728" w:rsidRPr="00705C2D" w:rsidRDefault="00440728" w:rsidP="00440728">
      <w:r w:rsidRPr="00705C2D">
        <w:t>The digital divide represents a significant barrier to equitable telehealth delivery. In</w:t>
      </w:r>
      <w:r w:rsidR="00F5716F">
        <w:t xml:space="preserve"> </w:t>
      </w:r>
      <w:r w:rsidRPr="00705C2D">
        <w:t>CF</w:t>
      </w:r>
      <w:r w:rsidR="00F5716F">
        <w:t xml:space="preserve"> </w:t>
      </w:r>
      <w:r w:rsidRPr="00705C2D">
        <w:t>care, disparities in access to broadband, devices, digital literacy, and private space can directly affect a patient’s ability to participate safely and effectively in remote consultations. Telehealth programmes must therefore identify and address these barriers systematically to prevent inequities in care access and clinical outcomes.</w:t>
      </w:r>
      <w:r w:rsidRPr="00705C2D">
        <w:br/>
      </w:r>
      <w:r w:rsidRPr="00705C2D">
        <w:br/>
        <w:t>The digital divide is multidimensional. It includes infrastructure gaps (e.g., unstable internet in rural regions), affordability barriers, varying levels of digital confidence, and the need for individualised support. Screening for these barriers during triage helps ensure that each patient is matched with an appropriate consultation modality—video, audio</w:t>
      </w:r>
      <w:r w:rsidRPr="00705C2D">
        <w:noBreakHyphen/>
        <w:t>only, asynchronous exchange, or in</w:t>
      </w:r>
      <w:r w:rsidRPr="00705C2D">
        <w:noBreakHyphen/>
        <w:t>person review. Telehealth pathways should include mitigation strategies, such as loaner devices, simplified low</w:t>
      </w:r>
      <w:r w:rsidRPr="00705C2D">
        <w:noBreakHyphen/>
        <w:t>bandwidth workflows, plain</w:t>
      </w:r>
      <w:r w:rsidRPr="00705C2D">
        <w:noBreakHyphen/>
        <w:t>language instructions, and structured tracking of digital</w:t>
      </w:r>
      <w:r w:rsidRPr="00705C2D">
        <w:noBreakHyphen/>
        <w:t>exclusion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3"/>
        <w:gridCol w:w="4839"/>
      </w:tblGrid>
      <w:tr w:rsidR="00440728" w:rsidRPr="00705C2D" w14:paraId="04991FAB" w14:textId="77777777" w:rsidTr="00440728">
        <w:tc>
          <w:tcPr>
            <w:tcW w:w="1668" w:type="dxa"/>
            <w:hideMark/>
          </w:tcPr>
          <w:p w14:paraId="6BCEBBC7" w14:textId="77777777" w:rsidR="00440728" w:rsidRPr="00705C2D" w:rsidRDefault="00440728" w:rsidP="00440728">
            <w:r w:rsidRPr="00705C2D">
              <w:t>Level</w:t>
            </w:r>
          </w:p>
        </w:tc>
        <w:tc>
          <w:tcPr>
            <w:tcW w:w="2126" w:type="dxa"/>
            <w:hideMark/>
          </w:tcPr>
          <w:p w14:paraId="7506A565" w14:textId="77777777" w:rsidR="00440728" w:rsidRPr="00705C2D" w:rsidRDefault="00440728" w:rsidP="00440728">
            <w:r w:rsidRPr="00705C2D">
              <w:t>Summary</w:t>
            </w:r>
          </w:p>
        </w:tc>
        <w:tc>
          <w:tcPr>
            <w:tcW w:w="4846" w:type="dxa"/>
            <w:hideMark/>
          </w:tcPr>
          <w:p w14:paraId="1B04074F" w14:textId="77777777" w:rsidR="00440728" w:rsidRPr="00705C2D" w:rsidRDefault="00440728" w:rsidP="00440728">
            <w:r w:rsidRPr="00705C2D">
              <w:t>Detailed Content</w:t>
            </w:r>
          </w:p>
        </w:tc>
      </w:tr>
      <w:tr w:rsidR="00440728" w:rsidRPr="00705C2D" w14:paraId="0CE986A3" w14:textId="77777777" w:rsidTr="00440728">
        <w:tc>
          <w:tcPr>
            <w:tcW w:w="1668" w:type="dxa"/>
            <w:hideMark/>
          </w:tcPr>
          <w:p w14:paraId="01609EEB" w14:textId="77777777" w:rsidR="00440728" w:rsidRPr="00705C2D" w:rsidRDefault="00440728" w:rsidP="00440728">
            <w:r w:rsidRPr="00705C2D">
              <w:t>Highly Recommended</w:t>
            </w:r>
          </w:p>
        </w:tc>
        <w:tc>
          <w:tcPr>
            <w:tcW w:w="2126" w:type="dxa"/>
            <w:hideMark/>
          </w:tcPr>
          <w:p w14:paraId="72BD4EE5" w14:textId="77777777" w:rsidR="00440728" w:rsidRPr="00705C2D" w:rsidRDefault="00440728" w:rsidP="00440728">
            <w:r w:rsidRPr="00705C2D">
              <w:t>Screen for digital barriers</w:t>
            </w:r>
          </w:p>
        </w:tc>
        <w:tc>
          <w:tcPr>
            <w:tcW w:w="4846" w:type="dxa"/>
            <w:hideMark/>
          </w:tcPr>
          <w:p w14:paraId="0E5B2FD9" w14:textId="77777777" w:rsidR="00532FDB" w:rsidRPr="00705C2D" w:rsidRDefault="00F4519B" w:rsidP="00532FDB">
            <w:r w:rsidRPr="00705C2D">
              <w:t>• Establish</w:t>
            </w:r>
            <w:r w:rsidR="00532FDB" w:rsidRPr="00705C2D">
              <w:t xml:space="preserve"> Digital Literacy/Digital Health Literacy for both patients and care teams</w:t>
            </w:r>
          </w:p>
          <w:p w14:paraId="6388A9DE" w14:textId="4D4FED9B" w:rsidR="00440728" w:rsidRPr="00705C2D" w:rsidRDefault="00440728" w:rsidP="00532FDB">
            <w:r w:rsidRPr="00705C2D">
              <w:t>• Assess broadband quality, device availability, and private space</w:t>
            </w:r>
            <w:r w:rsidRPr="00705C2D">
              <w:br/>
              <w:t>• Identify data limits and potential connectivity instability</w:t>
            </w:r>
            <w:r w:rsidRPr="00705C2D">
              <w:br/>
              <w:t>• Recognise clinical risks of exclusion (missed care due to lack of access)</w:t>
            </w:r>
          </w:p>
        </w:tc>
      </w:tr>
      <w:tr w:rsidR="00440728" w:rsidRPr="00705C2D" w14:paraId="1B66281F" w14:textId="77777777" w:rsidTr="00440728">
        <w:tc>
          <w:tcPr>
            <w:tcW w:w="1668" w:type="dxa"/>
            <w:hideMark/>
          </w:tcPr>
          <w:p w14:paraId="75DEDEA6" w14:textId="77777777" w:rsidR="00440728" w:rsidRPr="00705C2D" w:rsidRDefault="00440728" w:rsidP="00440728">
            <w:r w:rsidRPr="00705C2D">
              <w:t>Recommended</w:t>
            </w:r>
          </w:p>
        </w:tc>
        <w:tc>
          <w:tcPr>
            <w:tcW w:w="2126" w:type="dxa"/>
            <w:hideMark/>
          </w:tcPr>
          <w:p w14:paraId="0210726E" w14:textId="77777777" w:rsidR="00440728" w:rsidRPr="00705C2D" w:rsidRDefault="00440728" w:rsidP="00440728">
            <w:r w:rsidRPr="00705C2D">
              <w:t>Mitigation strategies</w:t>
            </w:r>
          </w:p>
        </w:tc>
        <w:tc>
          <w:tcPr>
            <w:tcW w:w="4846" w:type="dxa"/>
            <w:hideMark/>
          </w:tcPr>
          <w:p w14:paraId="4C029DA2" w14:textId="77777777" w:rsidR="00440728" w:rsidRPr="00705C2D" w:rsidRDefault="00440728" w:rsidP="00440728">
            <w:r w:rsidRPr="00705C2D">
              <w:t>• Provide loaner devices or hotspots where feasible</w:t>
            </w:r>
            <w:r w:rsidRPr="00705C2D">
              <w:br/>
              <w:t>• Offer low</w:t>
            </w:r>
            <w:r w:rsidRPr="00705C2D">
              <w:noBreakHyphen/>
              <w:t>bandwidth workflows (audio</w:t>
            </w:r>
            <w:r w:rsidRPr="00705C2D">
              <w:noBreakHyphen/>
              <w:t>only, secure photo/video uploads)</w:t>
            </w:r>
            <w:r w:rsidRPr="00705C2D">
              <w:br/>
              <w:t>• Use plain</w:t>
            </w:r>
            <w:r w:rsidRPr="00705C2D">
              <w:noBreakHyphen/>
              <w:t>language and visually supported materials</w:t>
            </w:r>
            <w:r w:rsidRPr="00705C2D">
              <w:br/>
              <w:t>• Track digital</w:t>
            </w:r>
            <w:r w:rsidRPr="00705C2D">
              <w:noBreakHyphen/>
              <w:t>access barriers in quality</w:t>
            </w:r>
            <w:r w:rsidRPr="00705C2D">
              <w:noBreakHyphen/>
              <w:t>improvement dashboards</w:t>
            </w:r>
          </w:p>
        </w:tc>
      </w:tr>
      <w:tr w:rsidR="00440728" w:rsidRPr="00705C2D" w14:paraId="297512B4" w14:textId="77777777" w:rsidTr="00440728">
        <w:tc>
          <w:tcPr>
            <w:tcW w:w="1668" w:type="dxa"/>
            <w:hideMark/>
          </w:tcPr>
          <w:p w14:paraId="391DF6B1" w14:textId="77777777" w:rsidR="00440728" w:rsidRPr="00705C2D" w:rsidRDefault="00440728" w:rsidP="00440728">
            <w:r w:rsidRPr="00705C2D">
              <w:t>Optional</w:t>
            </w:r>
          </w:p>
        </w:tc>
        <w:tc>
          <w:tcPr>
            <w:tcW w:w="2126" w:type="dxa"/>
            <w:hideMark/>
          </w:tcPr>
          <w:p w14:paraId="4D8DBE70" w14:textId="77777777" w:rsidR="00440728" w:rsidRPr="00705C2D" w:rsidRDefault="00440728" w:rsidP="00440728">
            <w:r w:rsidRPr="00705C2D">
              <w:t>Advanced ICT &amp; equity tracking</w:t>
            </w:r>
          </w:p>
        </w:tc>
        <w:tc>
          <w:tcPr>
            <w:tcW w:w="4846" w:type="dxa"/>
            <w:hideMark/>
          </w:tcPr>
          <w:p w14:paraId="51CFBC3B" w14:textId="77777777" w:rsidR="00440728" w:rsidRPr="00705C2D" w:rsidRDefault="00440728" w:rsidP="00440728">
            <w:r w:rsidRPr="00705C2D">
              <w:t>• Use adaptive</w:t>
            </w:r>
            <w:r w:rsidRPr="00705C2D">
              <w:noBreakHyphen/>
              <w:t>bitrate systems to maintain video stability in low bandwidth</w:t>
            </w:r>
            <w:r w:rsidRPr="00705C2D">
              <w:br/>
              <w:t>• Conduct network</w:t>
            </w:r>
            <w:r w:rsidRPr="00705C2D">
              <w:noBreakHyphen/>
              <w:t>quality testing in areas with frequent connectivity issues</w:t>
            </w:r>
            <w:r w:rsidRPr="00705C2D">
              <w:br/>
              <w:t>• Incorporate equity metrics (e.g., SVI) into telehealth service monitoring</w:t>
            </w:r>
          </w:p>
        </w:tc>
      </w:tr>
    </w:tbl>
    <w:p w14:paraId="0B5B531E" w14:textId="77777777" w:rsidR="00440728" w:rsidRPr="00705C2D" w:rsidRDefault="00440728" w:rsidP="00440728"/>
    <w:p w14:paraId="58F98FBF" w14:textId="68A70E60" w:rsidR="00A82F17" w:rsidRPr="00705C2D" w:rsidRDefault="00A82F17" w:rsidP="00A82F17">
      <w:pPr>
        <w:pStyle w:val="Heading1"/>
      </w:pPr>
      <w:bookmarkStart w:id="21" w:name="_Toc228182410"/>
      <w:r w:rsidRPr="00705C2D">
        <w:lastRenderedPageBreak/>
        <w:t>5.1 Legal / Legislative Requirements</w:t>
      </w:r>
      <w:bookmarkEnd w:id="21"/>
    </w:p>
    <w:p w14:paraId="790C676D" w14:textId="77777777" w:rsidR="00A82F17" w:rsidRPr="00705C2D" w:rsidRDefault="00A82F17" w:rsidP="00A82F17">
      <w:r w:rsidRPr="00705C2D">
        <w:t>Legal and legislative requirements form the foundation of safe, compliant telehealth delivery within the European Union (EU). Telehealth encounters involve the electronic transmission, processing, and storage of health data, which is classified as ‘special category data’ under the General Data Protection Regulation (GDPR). CF centres must therefore ensure that all telehealth workflows—including video consultations, remote monitoring, messaging, and data exchange—are implemented in accordance with data</w:t>
      </w:r>
      <w:r w:rsidRPr="00705C2D">
        <w:noBreakHyphen/>
        <w:t>protection, clinical</w:t>
      </w:r>
      <w:r w:rsidRPr="00705C2D">
        <w:noBreakHyphen/>
        <w:t>governance, and consent requirements.</w:t>
      </w:r>
      <w:r w:rsidRPr="00705C2D">
        <w:br/>
      </w:r>
      <w:r w:rsidRPr="00705C2D">
        <w:br/>
        <w:t>Telehealth programmes must implement clear processes for obtaining valid telehealth consent, ensuring patients understand that digital interaction involves electronic data transfer and may carry limitations in clinical assessment. Platforms used for teleconsultations must meet GDPR standards, including secure processing, encryption, data</w:t>
      </w:r>
      <w:r w:rsidRPr="00705C2D">
        <w:noBreakHyphen/>
        <w:t>minimisation principles, and appropriate Data Processing Agreements (DPAs) between providers and technology vendors. Centres must also document data</w:t>
      </w:r>
      <w:r w:rsidRPr="00705C2D">
        <w:noBreakHyphen/>
        <w:t>flow pathways, storage locations, access controls, and breach</w:t>
      </w:r>
      <w:r w:rsidRPr="00705C2D">
        <w:noBreakHyphen/>
        <w:t>response procedures.</w:t>
      </w:r>
      <w:r w:rsidRPr="00705C2D">
        <w:br/>
      </w:r>
      <w:r w:rsidRPr="00705C2D">
        <w:br/>
        <w:t>For remote monitoring tools—such as home spirometry or asynchronous photo uploads—programmes must ensure that data flows are mapped, retention policies are documented, and patients are informed of how their data will be used. Any cross</w:t>
      </w:r>
      <w:r w:rsidRPr="00705C2D">
        <w:noBreakHyphen/>
        <w:t>border telehealth activity within the EU typically follows the country</w:t>
      </w:r>
      <w:r w:rsidRPr="00705C2D">
        <w:noBreakHyphen/>
        <w:t>of</w:t>
      </w:r>
      <w:r w:rsidRPr="00705C2D">
        <w:noBreakHyphen/>
        <w:t>origin principle, meaning the provider’s national regulatory framework governs telehealth delivery. However, CF centres must remain alert to specific licensing, reimbursement, or data</w:t>
      </w:r>
      <w:r w:rsidRPr="00705C2D">
        <w:noBreakHyphen/>
        <w:t>transfer restrictions applicable to non</w:t>
      </w:r>
      <w:r w:rsidRPr="00705C2D">
        <w:noBreakHyphen/>
        <w:t>domestic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125"/>
        <w:gridCol w:w="4272"/>
      </w:tblGrid>
      <w:tr w:rsidR="00A82F17" w:rsidRPr="00705C2D" w14:paraId="3B9DDC16" w14:textId="77777777" w:rsidTr="00A82F17">
        <w:tc>
          <w:tcPr>
            <w:tcW w:w="2235" w:type="dxa"/>
            <w:hideMark/>
          </w:tcPr>
          <w:p w14:paraId="6BE8C704" w14:textId="77777777" w:rsidR="00A82F17" w:rsidRPr="00705C2D" w:rsidRDefault="00A82F17" w:rsidP="00A82F17">
            <w:r w:rsidRPr="00705C2D">
              <w:t>Level</w:t>
            </w:r>
          </w:p>
        </w:tc>
        <w:tc>
          <w:tcPr>
            <w:tcW w:w="2126" w:type="dxa"/>
            <w:hideMark/>
          </w:tcPr>
          <w:p w14:paraId="5C27DF8F" w14:textId="77777777" w:rsidR="00A82F17" w:rsidRPr="00705C2D" w:rsidRDefault="00A82F17" w:rsidP="00A82F17">
            <w:r w:rsidRPr="00705C2D">
              <w:t>Summary</w:t>
            </w:r>
          </w:p>
        </w:tc>
        <w:tc>
          <w:tcPr>
            <w:tcW w:w="4279" w:type="dxa"/>
            <w:hideMark/>
          </w:tcPr>
          <w:p w14:paraId="00B85B94" w14:textId="77777777" w:rsidR="00A82F17" w:rsidRPr="00705C2D" w:rsidRDefault="00A82F17" w:rsidP="00A82F17">
            <w:r w:rsidRPr="00705C2D">
              <w:t>Detailed Content</w:t>
            </w:r>
          </w:p>
        </w:tc>
      </w:tr>
      <w:tr w:rsidR="00A82F17" w:rsidRPr="00705C2D" w14:paraId="3FC15E54" w14:textId="77777777" w:rsidTr="00A82F17">
        <w:tc>
          <w:tcPr>
            <w:tcW w:w="2235" w:type="dxa"/>
            <w:hideMark/>
          </w:tcPr>
          <w:p w14:paraId="32110EFC" w14:textId="77777777" w:rsidR="00A82F17" w:rsidRPr="00705C2D" w:rsidRDefault="00A82F17" w:rsidP="00A82F17">
            <w:r w:rsidRPr="00705C2D">
              <w:t>Highly Recommended</w:t>
            </w:r>
          </w:p>
        </w:tc>
        <w:tc>
          <w:tcPr>
            <w:tcW w:w="2126" w:type="dxa"/>
            <w:hideMark/>
          </w:tcPr>
          <w:p w14:paraId="5378BA6E" w14:textId="77777777" w:rsidR="00A82F17" w:rsidRPr="00705C2D" w:rsidRDefault="00A82F17" w:rsidP="00A82F17">
            <w:r w:rsidRPr="00705C2D">
              <w:t>Core legal and privacy safeguards</w:t>
            </w:r>
          </w:p>
        </w:tc>
        <w:tc>
          <w:tcPr>
            <w:tcW w:w="4279" w:type="dxa"/>
            <w:hideMark/>
          </w:tcPr>
          <w:p w14:paraId="5994E27B" w14:textId="77777777" w:rsidR="00A82F17" w:rsidRPr="00705C2D" w:rsidRDefault="00A82F17" w:rsidP="00A82F17">
            <w:r w:rsidRPr="00705C2D">
              <w:t>• Obtain and document telehealth</w:t>
            </w:r>
            <w:r w:rsidRPr="00705C2D">
              <w:noBreakHyphen/>
              <w:t>specific consent</w:t>
            </w:r>
            <w:r w:rsidRPr="00705C2D">
              <w:br/>
              <w:t>• Use approved GDPR</w:t>
            </w:r>
            <w:r w:rsidRPr="00705C2D">
              <w:noBreakHyphen/>
              <w:t>compliant telehealth platforms</w:t>
            </w:r>
            <w:r w:rsidRPr="00705C2D">
              <w:br/>
              <w:t>• Document modality, limitations, and clinical caveats</w:t>
            </w:r>
            <w:r w:rsidRPr="00705C2D">
              <w:br/>
              <w:t>• Ensure secure storage, encryption, and controlled access to health data</w:t>
            </w:r>
          </w:p>
        </w:tc>
      </w:tr>
      <w:tr w:rsidR="00A82F17" w:rsidRPr="00705C2D" w14:paraId="2C6D6B4E" w14:textId="77777777" w:rsidTr="00A82F17">
        <w:tc>
          <w:tcPr>
            <w:tcW w:w="2235" w:type="dxa"/>
            <w:hideMark/>
          </w:tcPr>
          <w:p w14:paraId="784C8797" w14:textId="77777777" w:rsidR="00A82F17" w:rsidRPr="00705C2D" w:rsidRDefault="00A82F17" w:rsidP="00A82F17">
            <w:r w:rsidRPr="00705C2D">
              <w:t>Recommended</w:t>
            </w:r>
          </w:p>
        </w:tc>
        <w:tc>
          <w:tcPr>
            <w:tcW w:w="2126" w:type="dxa"/>
            <w:hideMark/>
          </w:tcPr>
          <w:p w14:paraId="2AFAAC36" w14:textId="77777777" w:rsidR="00A82F17" w:rsidRPr="00705C2D" w:rsidRDefault="00A82F17" w:rsidP="00A82F17">
            <w:r w:rsidRPr="00705C2D">
              <w:t>Data</w:t>
            </w:r>
            <w:r w:rsidRPr="00705C2D">
              <w:noBreakHyphen/>
              <w:t>processing and governance frameworks</w:t>
            </w:r>
          </w:p>
        </w:tc>
        <w:tc>
          <w:tcPr>
            <w:tcW w:w="4279" w:type="dxa"/>
            <w:hideMark/>
          </w:tcPr>
          <w:p w14:paraId="6DAD4CEF" w14:textId="77777777" w:rsidR="00A82F17" w:rsidRPr="00705C2D" w:rsidRDefault="00A82F17" w:rsidP="00A82F17">
            <w:r w:rsidRPr="00705C2D">
              <w:t>• Maintain Data Processing Agreements with all telehealth vendors</w:t>
            </w:r>
            <w:r w:rsidRPr="00705C2D">
              <w:br/>
              <w:t>• Conduct Data Protection Impact Assessments for high</w:t>
            </w:r>
            <w:r w:rsidRPr="00705C2D">
              <w:noBreakHyphen/>
              <w:t>risk processing</w:t>
            </w:r>
            <w:r w:rsidRPr="00705C2D">
              <w:br/>
              <w:t>• Map data flows for remote devices and clarify retention policies</w:t>
            </w:r>
            <w:r w:rsidRPr="00705C2D">
              <w:br/>
            </w:r>
            <w:r w:rsidRPr="00705C2D">
              <w:lastRenderedPageBreak/>
              <w:t>• Implement breach</w:t>
            </w:r>
            <w:r w:rsidRPr="00705C2D">
              <w:noBreakHyphen/>
              <w:t>response and patient</w:t>
            </w:r>
            <w:r w:rsidRPr="00705C2D">
              <w:noBreakHyphen/>
              <w:t>notification procedures</w:t>
            </w:r>
          </w:p>
        </w:tc>
      </w:tr>
      <w:tr w:rsidR="00A82F17" w:rsidRPr="00705C2D" w14:paraId="207A88AB" w14:textId="77777777" w:rsidTr="00A82F17">
        <w:tc>
          <w:tcPr>
            <w:tcW w:w="2235" w:type="dxa"/>
            <w:hideMark/>
          </w:tcPr>
          <w:p w14:paraId="7CBA5A30" w14:textId="77777777" w:rsidR="00A82F17" w:rsidRPr="00705C2D" w:rsidRDefault="00A82F17" w:rsidP="00A82F17">
            <w:r w:rsidRPr="00705C2D">
              <w:lastRenderedPageBreak/>
              <w:t>Optional</w:t>
            </w:r>
          </w:p>
        </w:tc>
        <w:tc>
          <w:tcPr>
            <w:tcW w:w="2126" w:type="dxa"/>
            <w:hideMark/>
          </w:tcPr>
          <w:p w14:paraId="1422CEE3" w14:textId="77777777" w:rsidR="00A82F17" w:rsidRPr="00705C2D" w:rsidRDefault="00A82F17" w:rsidP="00A82F17">
            <w:r w:rsidRPr="00705C2D">
              <w:t>Cross</w:t>
            </w:r>
            <w:r w:rsidRPr="00705C2D">
              <w:noBreakHyphen/>
              <w:t>border and advanced compliance considerations</w:t>
            </w:r>
          </w:p>
        </w:tc>
        <w:tc>
          <w:tcPr>
            <w:tcW w:w="4279" w:type="dxa"/>
            <w:hideMark/>
          </w:tcPr>
          <w:p w14:paraId="1667A03A" w14:textId="77777777" w:rsidR="00A82F17" w:rsidRPr="00705C2D" w:rsidRDefault="00A82F17" w:rsidP="00A82F17">
            <w:r w:rsidRPr="00705C2D">
              <w:t>• Align with country</w:t>
            </w:r>
            <w:r w:rsidRPr="00705C2D">
              <w:noBreakHyphen/>
              <w:t>of</w:t>
            </w:r>
            <w:r w:rsidRPr="00705C2D">
              <w:noBreakHyphen/>
              <w:t>origin rules for cross</w:t>
            </w:r>
            <w:r w:rsidRPr="00705C2D">
              <w:noBreakHyphen/>
              <w:t>border EU telehealth</w:t>
            </w:r>
            <w:r w:rsidRPr="00705C2D">
              <w:br/>
              <w:t>• Review licensing and reimbursement requirements for non</w:t>
            </w:r>
            <w:r w:rsidRPr="00705C2D">
              <w:noBreakHyphen/>
              <w:t>domestic cases</w:t>
            </w:r>
            <w:r w:rsidRPr="00705C2D">
              <w:br/>
              <w:t>• Consider additional security frameworks (e.g., ISO/IEC 27001) for large</w:t>
            </w:r>
            <w:r w:rsidRPr="00705C2D">
              <w:noBreakHyphen/>
              <w:t>scale services</w:t>
            </w:r>
          </w:p>
        </w:tc>
      </w:tr>
    </w:tbl>
    <w:p w14:paraId="17D9D96C" w14:textId="77777777" w:rsidR="00A82F17" w:rsidRPr="00705C2D" w:rsidRDefault="00A82F17" w:rsidP="00A82F17"/>
    <w:p w14:paraId="75C2D311" w14:textId="761272FF" w:rsidR="00F20F3A" w:rsidRPr="00705C2D" w:rsidRDefault="00F20F3A" w:rsidP="00F20F3A">
      <w:pPr>
        <w:pStyle w:val="Heading1"/>
      </w:pPr>
      <w:bookmarkStart w:id="22" w:name="_Toc228182411"/>
      <w:r w:rsidRPr="00705C2D">
        <w:t>5.2 Organisational &amp; National Regulations</w:t>
      </w:r>
      <w:bookmarkEnd w:id="22"/>
    </w:p>
    <w:p w14:paraId="3CFD4158" w14:textId="4CDB3143" w:rsidR="00A37631" w:rsidRPr="00705C2D" w:rsidRDefault="00F20F3A" w:rsidP="00F20F3A">
      <w:r w:rsidRPr="00705C2D">
        <w:t>Organisational and national regulations ensure that telehealth services for CF are delivered safely, consistently, and in alignment with recognised clinical</w:t>
      </w:r>
      <w:r w:rsidRPr="00705C2D">
        <w:noBreakHyphen/>
        <w:t>governance and service</w:t>
      </w:r>
      <w:r w:rsidRPr="00705C2D">
        <w:noBreakHyphen/>
        <w:t>delivery standards. CF centres must operate within their institution’s approved telehealth policies, including requirements for clinical documentation, approved platforms, escalation protocols, and remote</w:t>
      </w:r>
      <w:r w:rsidRPr="00705C2D">
        <w:noBreakHyphen/>
        <w:t>prescribing rules. Adherence to these frameworks ensures transparency, auditability, and protection for both patients and clinicians.</w:t>
      </w:r>
      <w:r w:rsidRPr="00705C2D">
        <w:br/>
      </w:r>
      <w:r w:rsidRPr="00705C2D">
        <w:br/>
        <w:t>National guidelines</w:t>
      </w:r>
      <w:r w:rsidR="00A37631" w:rsidRPr="00705C2D">
        <w:t>,</w:t>
      </w:r>
      <w:r w:rsidR="00CE2F5F" w:rsidRPr="00705C2D">
        <w:t xml:space="preserve"> </w:t>
      </w:r>
      <w:r w:rsidRPr="00705C2D">
        <w:t>such as those issued by healthcare authorities or specialist bodies</w:t>
      </w:r>
      <w:r w:rsidR="00A37631" w:rsidRPr="00705C2D">
        <w:t xml:space="preserve">, </w:t>
      </w:r>
      <w:r w:rsidRPr="00705C2D">
        <w:t>provide expectations for service models, minimum datasets, follow</w:t>
      </w:r>
      <w:r w:rsidRPr="00705C2D">
        <w:noBreakHyphen/>
        <w:t>up frequency, and care</w:t>
      </w:r>
      <w:r w:rsidRPr="00705C2D">
        <w:noBreakHyphen/>
        <w:t>team coordination. These frameworks often emphasise health</w:t>
      </w:r>
      <w:r w:rsidRPr="00705C2D">
        <w:noBreakHyphen/>
        <w:t>inequality mitigation, structured monitoring, and clear thresholds for when in</w:t>
      </w:r>
      <w:r w:rsidRPr="00705C2D">
        <w:noBreakHyphen/>
        <w:t>person review is required (e.g., rapid decline in lung function, concerning clinical symptoms, or safeguarding concerns). Programmes should align remote monitoring schedules, data</w:t>
      </w:r>
      <w:r w:rsidRPr="00705C2D">
        <w:noBreakHyphen/>
        <w:t>collection processes, and multidisciplinary workflows with national CF care standards.</w:t>
      </w:r>
      <w:r w:rsidR="00A37631" w:rsidRPr="00705C2D">
        <w:t xml:space="preserve"> </w:t>
      </w:r>
    </w:p>
    <w:p w14:paraId="4E2820B8" w14:textId="2CCDBFB3" w:rsidR="00F20F3A" w:rsidRPr="00705C2D" w:rsidRDefault="00A37631" w:rsidP="00F20F3A">
      <w:r w:rsidRPr="00705C2D">
        <w:t xml:space="preserve">Also establish Economic Viability </w:t>
      </w:r>
      <w:r w:rsidR="00336109" w:rsidRPr="00705C2D">
        <w:t>of the telehealth system. For example, establish centre reimbursement models for telehealth visits with</w:t>
      </w:r>
      <w:r w:rsidR="005D108E" w:rsidRPr="00705C2D">
        <w:t xml:space="preserve"> hospital organi</w:t>
      </w:r>
      <w:r w:rsidR="003D48FB" w:rsidRPr="00705C2D">
        <w:t>s</w:t>
      </w:r>
      <w:r w:rsidR="005D108E" w:rsidRPr="00705C2D">
        <w:t>ation</w:t>
      </w:r>
      <w:r w:rsidR="003D48FB" w:rsidRPr="00705C2D">
        <w:t>s</w:t>
      </w:r>
      <w:r w:rsidR="005D108E" w:rsidRPr="00705C2D">
        <w:t>,</w:t>
      </w:r>
      <w:r w:rsidR="003D48FB" w:rsidRPr="00705C2D">
        <w:t xml:space="preserve"> the</w:t>
      </w:r>
      <w:r w:rsidR="005D108E" w:rsidRPr="00705C2D">
        <w:t xml:space="preserve"> state, or health insurance providers. </w:t>
      </w:r>
      <w:r w:rsidR="00FC4B4D" w:rsidRPr="00705C2D">
        <w:t>A lack of reimbursement policy or mechanism can be a limiting factor for establishing and sustaining telehealth services.</w:t>
      </w:r>
      <w:r w:rsidR="00F20F3A" w:rsidRPr="00705C2D">
        <w:br/>
      </w:r>
      <w:r w:rsidR="00F20F3A" w:rsidRPr="00705C2D">
        <w:br/>
        <w:t>Advanced organisational requirements include integration of remote</w:t>
      </w:r>
      <w:r w:rsidR="00F20F3A" w:rsidRPr="00705C2D">
        <w:noBreakHyphen/>
        <w:t>monitoring data into clinical registries, adoption of structured audit tools, and development of institution</w:t>
      </w:r>
      <w:r w:rsidR="00F20F3A" w:rsidRPr="00705C2D">
        <w:noBreakHyphen/>
        <w:t>wide telehealth governance procedures. Centres may also reference international implementation frameworks when scaling services, ensuring sustainability, interoperability, and robust evaluation. Reimbursement models and billing pathways must be reviewed to ensure that telehealth activity is recognised and supported within national funding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5261"/>
      </w:tblGrid>
      <w:tr w:rsidR="00F20F3A" w:rsidRPr="00705C2D" w14:paraId="649F2D27" w14:textId="77777777" w:rsidTr="00F20F3A">
        <w:tc>
          <w:tcPr>
            <w:tcW w:w="1668" w:type="dxa"/>
            <w:hideMark/>
          </w:tcPr>
          <w:p w14:paraId="747C2242" w14:textId="77777777" w:rsidR="00F20F3A" w:rsidRPr="00705C2D" w:rsidRDefault="00F20F3A" w:rsidP="00F20F3A">
            <w:r w:rsidRPr="00705C2D">
              <w:t>Level</w:t>
            </w:r>
          </w:p>
        </w:tc>
        <w:tc>
          <w:tcPr>
            <w:tcW w:w="1701" w:type="dxa"/>
            <w:hideMark/>
          </w:tcPr>
          <w:p w14:paraId="593B4200" w14:textId="77777777" w:rsidR="00F20F3A" w:rsidRPr="00705C2D" w:rsidRDefault="00F20F3A" w:rsidP="00F20F3A">
            <w:r w:rsidRPr="00705C2D">
              <w:t>Summary</w:t>
            </w:r>
          </w:p>
        </w:tc>
        <w:tc>
          <w:tcPr>
            <w:tcW w:w="5271" w:type="dxa"/>
            <w:hideMark/>
          </w:tcPr>
          <w:p w14:paraId="515FD5F0" w14:textId="77777777" w:rsidR="00F20F3A" w:rsidRPr="00705C2D" w:rsidRDefault="00F20F3A" w:rsidP="00F20F3A">
            <w:r w:rsidRPr="00705C2D">
              <w:t>Detailed Content</w:t>
            </w:r>
          </w:p>
        </w:tc>
      </w:tr>
      <w:tr w:rsidR="00F20F3A" w:rsidRPr="00705C2D" w14:paraId="10F6486E" w14:textId="77777777" w:rsidTr="00F20F3A">
        <w:tc>
          <w:tcPr>
            <w:tcW w:w="1668" w:type="dxa"/>
            <w:hideMark/>
          </w:tcPr>
          <w:p w14:paraId="4994309F" w14:textId="77777777" w:rsidR="00F20F3A" w:rsidRPr="00705C2D" w:rsidRDefault="00F20F3A" w:rsidP="00F20F3A">
            <w:r w:rsidRPr="00705C2D">
              <w:lastRenderedPageBreak/>
              <w:t>Highly Recommended</w:t>
            </w:r>
          </w:p>
        </w:tc>
        <w:tc>
          <w:tcPr>
            <w:tcW w:w="1701" w:type="dxa"/>
            <w:hideMark/>
          </w:tcPr>
          <w:p w14:paraId="551A1C7A" w14:textId="77777777" w:rsidR="00F20F3A" w:rsidRPr="00705C2D" w:rsidRDefault="00F20F3A" w:rsidP="00F20F3A">
            <w:r w:rsidRPr="00705C2D">
              <w:t>Institutional governance alignment</w:t>
            </w:r>
          </w:p>
        </w:tc>
        <w:tc>
          <w:tcPr>
            <w:tcW w:w="5271" w:type="dxa"/>
            <w:hideMark/>
          </w:tcPr>
          <w:p w14:paraId="65001F1B" w14:textId="77777777" w:rsidR="00F20F3A" w:rsidRPr="00705C2D" w:rsidRDefault="00F20F3A" w:rsidP="00F20F3A">
            <w:r w:rsidRPr="00705C2D">
              <w:t>• Follow institutional telehealth policies and platform approvals</w:t>
            </w:r>
            <w:r w:rsidRPr="00705C2D">
              <w:br/>
              <w:t>• Adhere to documentation standards and escalation procedures</w:t>
            </w:r>
            <w:r w:rsidRPr="00705C2D">
              <w:br/>
              <w:t>• Ensure remote</w:t>
            </w:r>
            <w:r w:rsidRPr="00705C2D">
              <w:noBreakHyphen/>
              <w:t>prescribing complies with national rules</w:t>
            </w:r>
          </w:p>
          <w:p w14:paraId="65C3508E" w14:textId="50B62B58" w:rsidR="000E6C4E" w:rsidRPr="00705C2D" w:rsidRDefault="000E6C4E" w:rsidP="00F20F3A">
            <w:r w:rsidRPr="00705C2D">
              <w:t>• Map reimbursement pathways for telehealth and CF team time</w:t>
            </w:r>
          </w:p>
        </w:tc>
      </w:tr>
      <w:tr w:rsidR="00F20F3A" w:rsidRPr="00705C2D" w14:paraId="1637C9F8" w14:textId="77777777" w:rsidTr="00F20F3A">
        <w:tc>
          <w:tcPr>
            <w:tcW w:w="1668" w:type="dxa"/>
            <w:hideMark/>
          </w:tcPr>
          <w:p w14:paraId="53456C91" w14:textId="77777777" w:rsidR="00F20F3A" w:rsidRPr="00705C2D" w:rsidRDefault="00F20F3A" w:rsidP="00F20F3A">
            <w:r w:rsidRPr="00705C2D">
              <w:t>Recommended</w:t>
            </w:r>
          </w:p>
        </w:tc>
        <w:tc>
          <w:tcPr>
            <w:tcW w:w="1701" w:type="dxa"/>
            <w:hideMark/>
          </w:tcPr>
          <w:p w14:paraId="2962D0E4" w14:textId="77777777" w:rsidR="00F20F3A" w:rsidRPr="00705C2D" w:rsidRDefault="00F20F3A" w:rsidP="00F20F3A">
            <w:r w:rsidRPr="00705C2D">
              <w:t>National pathways &amp; clinical thresholds</w:t>
            </w:r>
          </w:p>
        </w:tc>
        <w:tc>
          <w:tcPr>
            <w:tcW w:w="5271" w:type="dxa"/>
            <w:hideMark/>
          </w:tcPr>
          <w:p w14:paraId="4EF488FA" w14:textId="77777777" w:rsidR="00F20F3A" w:rsidRPr="00705C2D" w:rsidRDefault="00F20F3A" w:rsidP="00F20F3A">
            <w:r w:rsidRPr="00705C2D">
              <w:t>• Define criteria for when in</w:t>
            </w:r>
            <w:r w:rsidRPr="00705C2D">
              <w:noBreakHyphen/>
              <w:t>person review is required</w:t>
            </w:r>
            <w:r w:rsidRPr="00705C2D">
              <w:br/>
              <w:t>• Align remote</w:t>
            </w:r>
            <w:r w:rsidRPr="00705C2D">
              <w:noBreakHyphen/>
              <w:t>care cadence with national CF guidance</w:t>
            </w:r>
            <w:r w:rsidRPr="00705C2D">
              <w:br/>
              <w:t>• Use structured remote</w:t>
            </w:r>
            <w:r w:rsidRPr="00705C2D">
              <w:noBreakHyphen/>
              <w:t>data packs (e.g., home FEV1, symptoms, sputum photos)</w:t>
            </w:r>
          </w:p>
        </w:tc>
      </w:tr>
      <w:tr w:rsidR="00F20F3A" w:rsidRPr="00705C2D" w14:paraId="6BE065FB" w14:textId="77777777" w:rsidTr="00F20F3A">
        <w:tc>
          <w:tcPr>
            <w:tcW w:w="1668" w:type="dxa"/>
            <w:hideMark/>
          </w:tcPr>
          <w:p w14:paraId="754BFF30" w14:textId="77777777" w:rsidR="00F20F3A" w:rsidRPr="00705C2D" w:rsidRDefault="00F20F3A" w:rsidP="00F20F3A">
            <w:r w:rsidRPr="00705C2D">
              <w:t>Optional</w:t>
            </w:r>
          </w:p>
        </w:tc>
        <w:tc>
          <w:tcPr>
            <w:tcW w:w="1701" w:type="dxa"/>
            <w:hideMark/>
          </w:tcPr>
          <w:p w14:paraId="7F89DB4E" w14:textId="77777777" w:rsidR="00F20F3A" w:rsidRPr="00705C2D" w:rsidRDefault="00F20F3A" w:rsidP="00F20F3A">
            <w:r w:rsidRPr="00705C2D">
              <w:t>Advanced ICT, registries &amp; reimbursement</w:t>
            </w:r>
          </w:p>
        </w:tc>
        <w:tc>
          <w:tcPr>
            <w:tcW w:w="5271" w:type="dxa"/>
            <w:hideMark/>
          </w:tcPr>
          <w:p w14:paraId="66AF3DBD" w14:textId="052A1522" w:rsidR="00F20F3A" w:rsidRPr="00705C2D" w:rsidRDefault="00F20F3A" w:rsidP="00F20F3A">
            <w:r w:rsidRPr="00705C2D">
              <w:t>• Integrate remote</w:t>
            </w:r>
            <w:r w:rsidRPr="00705C2D">
              <w:noBreakHyphen/>
              <w:t>monitoring data into national registries</w:t>
            </w:r>
            <w:r w:rsidRPr="00705C2D">
              <w:br/>
              <w:t>• Apply international telemedicine implementation frameworks</w:t>
            </w:r>
          </w:p>
        </w:tc>
      </w:tr>
    </w:tbl>
    <w:p w14:paraId="1AB544B9" w14:textId="77777777" w:rsidR="00F20F3A" w:rsidRPr="00705C2D" w:rsidRDefault="00F20F3A" w:rsidP="00F20F3A"/>
    <w:p w14:paraId="57E506B0" w14:textId="77777777" w:rsidR="00C7327D" w:rsidRPr="00705C2D" w:rsidRDefault="00C7327D"/>
    <w:sectPr w:rsidR="00C7327D" w:rsidRPr="00705C2D" w:rsidSect="00705C2D">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F39F" w14:textId="77777777" w:rsidR="00DF1C7C" w:rsidRDefault="00DF1C7C" w:rsidP="009226D0">
      <w:pPr>
        <w:spacing w:after="0" w:line="240" w:lineRule="auto"/>
      </w:pPr>
      <w:r>
        <w:separator/>
      </w:r>
    </w:p>
  </w:endnote>
  <w:endnote w:type="continuationSeparator" w:id="0">
    <w:p w14:paraId="431AA782" w14:textId="77777777" w:rsidR="00DF1C7C" w:rsidRDefault="00DF1C7C" w:rsidP="0092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467943"/>
      <w:docPartObj>
        <w:docPartGallery w:val="Page Numbers (Bottom of Page)"/>
        <w:docPartUnique/>
      </w:docPartObj>
    </w:sdtPr>
    <w:sdtEndPr>
      <w:rPr>
        <w:noProof/>
      </w:rPr>
    </w:sdtEndPr>
    <w:sdtContent>
      <w:p w14:paraId="52BBAA44" w14:textId="03D8D8D2" w:rsidR="00B530F7" w:rsidRDefault="00B530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DF08E" w14:textId="77777777" w:rsidR="00B530F7" w:rsidRDefault="00B5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20F4" w14:textId="77777777" w:rsidR="00DF1C7C" w:rsidRDefault="00DF1C7C" w:rsidP="009226D0">
      <w:pPr>
        <w:spacing w:after="0" w:line="240" w:lineRule="auto"/>
      </w:pPr>
      <w:r>
        <w:separator/>
      </w:r>
    </w:p>
  </w:footnote>
  <w:footnote w:type="continuationSeparator" w:id="0">
    <w:p w14:paraId="16551D8F" w14:textId="77777777" w:rsidR="00DF1C7C" w:rsidRDefault="00DF1C7C" w:rsidP="0092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22EB" w14:textId="098BB425" w:rsidR="009226D0" w:rsidRPr="006E3413" w:rsidRDefault="009226D0" w:rsidP="009226D0">
    <w:pPr>
      <w:pStyle w:val="Header"/>
      <w:rPr>
        <w:lang w:val="en-IE"/>
      </w:rPr>
    </w:pPr>
    <w:r>
      <w:rPr>
        <w:lang w:val="en-IE"/>
      </w:rPr>
      <w:t>Telehealth Technical Information</w:t>
    </w:r>
    <w:r w:rsidRPr="006E3413">
      <w:rPr>
        <w:lang w:val="en-IE"/>
      </w:rPr>
      <w:ptab w:relativeTo="margin" w:alignment="center" w:leader="none"/>
    </w:r>
    <w:r>
      <w:rPr>
        <w:lang w:val="en-IE"/>
      </w:rPr>
      <w:t xml:space="preserve">draft </w:t>
    </w:r>
    <w:r w:rsidR="00235B26">
      <w:rPr>
        <w:lang w:val="en-IE"/>
      </w:rPr>
      <w:t>3</w:t>
    </w:r>
    <w:r w:rsidRPr="006E3413">
      <w:rPr>
        <w:lang w:val="en-IE"/>
      </w:rPr>
      <w:ptab w:relativeTo="margin" w:alignment="right" w:leader="none"/>
    </w:r>
    <w:r>
      <w:rPr>
        <w:lang w:val="en-IE"/>
      </w:rPr>
      <w:t>WP4</w:t>
    </w:r>
  </w:p>
  <w:p w14:paraId="42417817" w14:textId="77777777" w:rsidR="009226D0" w:rsidRDefault="00922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1E1B59"/>
    <w:multiLevelType w:val="hybridMultilevel"/>
    <w:tmpl w:val="CFDCC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0370ED"/>
    <w:multiLevelType w:val="hybridMultilevel"/>
    <w:tmpl w:val="4192F4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F2E17A0"/>
    <w:multiLevelType w:val="hybridMultilevel"/>
    <w:tmpl w:val="33A49D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5162012"/>
    <w:multiLevelType w:val="hybridMultilevel"/>
    <w:tmpl w:val="61B4928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C8249A"/>
    <w:multiLevelType w:val="hybridMultilevel"/>
    <w:tmpl w:val="54D020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4099774">
    <w:abstractNumId w:val="8"/>
  </w:num>
  <w:num w:numId="2" w16cid:durableId="182864654">
    <w:abstractNumId w:val="6"/>
  </w:num>
  <w:num w:numId="3" w16cid:durableId="98062521">
    <w:abstractNumId w:val="5"/>
  </w:num>
  <w:num w:numId="4" w16cid:durableId="402870177">
    <w:abstractNumId w:val="4"/>
  </w:num>
  <w:num w:numId="5" w16cid:durableId="185757914">
    <w:abstractNumId w:val="7"/>
  </w:num>
  <w:num w:numId="6" w16cid:durableId="312563521">
    <w:abstractNumId w:val="3"/>
  </w:num>
  <w:num w:numId="7" w16cid:durableId="1912032766">
    <w:abstractNumId w:val="2"/>
  </w:num>
  <w:num w:numId="8" w16cid:durableId="1203639158">
    <w:abstractNumId w:val="1"/>
  </w:num>
  <w:num w:numId="9" w16cid:durableId="179317711">
    <w:abstractNumId w:val="0"/>
  </w:num>
  <w:num w:numId="10" w16cid:durableId="971210374">
    <w:abstractNumId w:val="13"/>
  </w:num>
  <w:num w:numId="11" w16cid:durableId="710883665">
    <w:abstractNumId w:val="10"/>
  </w:num>
  <w:num w:numId="12" w16cid:durableId="37516233">
    <w:abstractNumId w:val="12"/>
  </w:num>
  <w:num w:numId="13" w16cid:durableId="58983112">
    <w:abstractNumId w:val="11"/>
  </w:num>
  <w:num w:numId="14" w16cid:durableId="394163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2E6"/>
    <w:rsid w:val="0006063C"/>
    <w:rsid w:val="00063DA1"/>
    <w:rsid w:val="000B04CE"/>
    <w:rsid w:val="000C1183"/>
    <w:rsid w:val="000C1AAB"/>
    <w:rsid w:val="000E1E69"/>
    <w:rsid w:val="000E6C4E"/>
    <w:rsid w:val="001264F3"/>
    <w:rsid w:val="0015074B"/>
    <w:rsid w:val="00156047"/>
    <w:rsid w:val="00172853"/>
    <w:rsid w:val="00235B26"/>
    <w:rsid w:val="00243A8B"/>
    <w:rsid w:val="0024530B"/>
    <w:rsid w:val="0029639D"/>
    <w:rsid w:val="00296F2C"/>
    <w:rsid w:val="002F7737"/>
    <w:rsid w:val="00310316"/>
    <w:rsid w:val="00326F90"/>
    <w:rsid w:val="00336109"/>
    <w:rsid w:val="003A672B"/>
    <w:rsid w:val="003D48FB"/>
    <w:rsid w:val="00440728"/>
    <w:rsid w:val="00452220"/>
    <w:rsid w:val="00477066"/>
    <w:rsid w:val="00532FDB"/>
    <w:rsid w:val="00560493"/>
    <w:rsid w:val="00583FF9"/>
    <w:rsid w:val="005B0F41"/>
    <w:rsid w:val="005C137D"/>
    <w:rsid w:val="005D108E"/>
    <w:rsid w:val="005E78A1"/>
    <w:rsid w:val="00613E82"/>
    <w:rsid w:val="0062186D"/>
    <w:rsid w:val="006A5BAB"/>
    <w:rsid w:val="006E2F34"/>
    <w:rsid w:val="00705C2D"/>
    <w:rsid w:val="00707316"/>
    <w:rsid w:val="00726303"/>
    <w:rsid w:val="00743A4C"/>
    <w:rsid w:val="007551AB"/>
    <w:rsid w:val="00757FF3"/>
    <w:rsid w:val="00783AC3"/>
    <w:rsid w:val="008211DB"/>
    <w:rsid w:val="008276C6"/>
    <w:rsid w:val="008465C9"/>
    <w:rsid w:val="008661C7"/>
    <w:rsid w:val="008A2CE0"/>
    <w:rsid w:val="008A63AA"/>
    <w:rsid w:val="008B058F"/>
    <w:rsid w:val="009226D0"/>
    <w:rsid w:val="009A221D"/>
    <w:rsid w:val="009D2ABF"/>
    <w:rsid w:val="00A3322C"/>
    <w:rsid w:val="00A36A22"/>
    <w:rsid w:val="00A37631"/>
    <w:rsid w:val="00A65CE3"/>
    <w:rsid w:val="00A82F17"/>
    <w:rsid w:val="00AA1D8D"/>
    <w:rsid w:val="00AA686A"/>
    <w:rsid w:val="00AD16CD"/>
    <w:rsid w:val="00AE055A"/>
    <w:rsid w:val="00B018DE"/>
    <w:rsid w:val="00B07C02"/>
    <w:rsid w:val="00B17173"/>
    <w:rsid w:val="00B25667"/>
    <w:rsid w:val="00B371CE"/>
    <w:rsid w:val="00B47730"/>
    <w:rsid w:val="00B530F7"/>
    <w:rsid w:val="00B53124"/>
    <w:rsid w:val="00B87C9C"/>
    <w:rsid w:val="00C04531"/>
    <w:rsid w:val="00C44AE7"/>
    <w:rsid w:val="00C7327D"/>
    <w:rsid w:val="00CB0664"/>
    <w:rsid w:val="00CB76CE"/>
    <w:rsid w:val="00CE2F5F"/>
    <w:rsid w:val="00D064F5"/>
    <w:rsid w:val="00D17639"/>
    <w:rsid w:val="00D61E43"/>
    <w:rsid w:val="00D71015"/>
    <w:rsid w:val="00D90914"/>
    <w:rsid w:val="00D97DC5"/>
    <w:rsid w:val="00DC0AA6"/>
    <w:rsid w:val="00DC1E8B"/>
    <w:rsid w:val="00DF1C7C"/>
    <w:rsid w:val="00DF502B"/>
    <w:rsid w:val="00E25219"/>
    <w:rsid w:val="00E335B3"/>
    <w:rsid w:val="00E574D4"/>
    <w:rsid w:val="00EE7622"/>
    <w:rsid w:val="00F20F3A"/>
    <w:rsid w:val="00F4519B"/>
    <w:rsid w:val="00F46D15"/>
    <w:rsid w:val="00F5298F"/>
    <w:rsid w:val="00F5716F"/>
    <w:rsid w:val="00F73CFA"/>
    <w:rsid w:val="00F8704D"/>
    <w:rsid w:val="00F946CF"/>
    <w:rsid w:val="00F94D6F"/>
    <w:rsid w:val="00FC4B4D"/>
    <w:rsid w:val="00FC693F"/>
    <w:rsid w:val="00FD6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7B20F"/>
  <w14:defaultImageDpi w14:val="300"/>
  <w15:docId w15:val="{E49EB45D-3CB0-4665-8A41-6A63A90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3">
    <w:name w:val="Plain Table 3"/>
    <w:basedOn w:val="TableNormal"/>
    <w:uiPriority w:val="99"/>
    <w:rsid w:val="005E78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1">
    <w:name w:val="toc 1"/>
    <w:basedOn w:val="Normal"/>
    <w:next w:val="Normal"/>
    <w:autoRedefine/>
    <w:uiPriority w:val="39"/>
    <w:unhideWhenUsed/>
    <w:rsid w:val="008211DB"/>
    <w:pPr>
      <w:spacing w:after="100"/>
    </w:pPr>
  </w:style>
  <w:style w:type="paragraph" w:styleId="TOC2">
    <w:name w:val="toc 2"/>
    <w:basedOn w:val="Normal"/>
    <w:next w:val="Normal"/>
    <w:autoRedefine/>
    <w:uiPriority w:val="39"/>
    <w:unhideWhenUsed/>
    <w:rsid w:val="008211DB"/>
    <w:pPr>
      <w:spacing w:after="100"/>
      <w:ind w:left="220"/>
    </w:pPr>
  </w:style>
  <w:style w:type="paragraph" w:styleId="TOC3">
    <w:name w:val="toc 3"/>
    <w:basedOn w:val="Normal"/>
    <w:next w:val="Normal"/>
    <w:autoRedefine/>
    <w:uiPriority w:val="39"/>
    <w:unhideWhenUsed/>
    <w:rsid w:val="008211DB"/>
    <w:pPr>
      <w:spacing w:after="100"/>
      <w:ind w:left="440"/>
    </w:pPr>
  </w:style>
  <w:style w:type="character" w:styleId="Hyperlink">
    <w:name w:val="Hyperlink"/>
    <w:basedOn w:val="DefaultParagraphFont"/>
    <w:uiPriority w:val="99"/>
    <w:unhideWhenUsed/>
    <w:rsid w:val="008211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5567</Words>
  <Characters>31734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Tamara Vagg</cp:lastModifiedBy>
  <cp:revision>2</cp:revision>
  <dcterms:created xsi:type="dcterms:W3CDTF">2026-05-22T22:37:00Z</dcterms:created>
  <dcterms:modified xsi:type="dcterms:W3CDTF">2026-05-22T22:37:00Z</dcterms:modified>
  <cp:category/>
</cp:coreProperties>
</file>